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C0EB" w14:textId="7FE79652" w:rsidR="002D4E56" w:rsidRPr="00D0103E" w:rsidRDefault="002D4E56" w:rsidP="002D4E56">
      <w:pPr>
        <w:rPr>
          <w:b/>
          <w:bCs/>
          <w:sz w:val="24"/>
          <w:szCs w:val="24"/>
        </w:rPr>
      </w:pPr>
      <w:r w:rsidRPr="00D0103E">
        <w:rPr>
          <w:b/>
          <w:bCs/>
          <w:sz w:val="24"/>
          <w:szCs w:val="24"/>
        </w:rPr>
        <w:t xml:space="preserve">World Neglected Tropical Diseases Day: </w:t>
      </w:r>
      <w:proofErr w:type="spellStart"/>
      <w:proofErr w:type="gramStart"/>
      <w:r w:rsidR="000E565B">
        <w:rPr>
          <w:b/>
          <w:bCs/>
          <w:sz w:val="24"/>
          <w:szCs w:val="24"/>
        </w:rPr>
        <w:t>Unite.Act.Eliminate</w:t>
      </w:r>
      <w:proofErr w:type="spellEnd"/>
      <w:proofErr w:type="gramEnd"/>
      <w:r w:rsidR="000E565B">
        <w:rPr>
          <w:b/>
          <w:bCs/>
          <w:sz w:val="24"/>
          <w:szCs w:val="24"/>
        </w:rPr>
        <w:t xml:space="preserve"> NTDs!</w:t>
      </w:r>
    </w:p>
    <w:p w14:paraId="14506BB8" w14:textId="223FA533" w:rsidR="00EB2D70" w:rsidRDefault="00EB2D70" w:rsidP="00EB2D70">
      <w:pPr>
        <w:rPr>
          <w:i/>
          <w:iCs/>
        </w:rPr>
      </w:pPr>
      <w:r>
        <w:t xml:space="preserve">World Neglected Tropical Diseases Day 2025 will be observed on Thursday, January 30, 2025. Neglected tropical diseases (NTDs) encompass a growing list of infections that primarily affect tropical regions but receive less attention compared to the "big three" diseases: </w:t>
      </w:r>
      <w:hyperlink r:id="rId7" w:history="1">
        <w:r w:rsidRPr="00EB2D70">
          <w:rPr>
            <w:rStyle w:val="Hyperlink"/>
          </w:rPr>
          <w:t>malaria, tuberculosis (TB), and HIV/AIDS</w:t>
        </w:r>
      </w:hyperlink>
      <w:r>
        <w:t>.</w:t>
      </w:r>
      <w:r w:rsidR="000B1DFE">
        <w:t xml:space="preserve"> This day was established to raise awareness about the devastating impact of Neglected Tropical Diseases (NTDs) on the world’s poorest populations. It also serves as an opportunity to mobilize support for the growing momentum aimed at controlling, eliminating, and eradicating these diseases. This year's campaign </w:t>
      </w:r>
      <w:r>
        <w:t>centres</w:t>
      </w:r>
      <w:r w:rsidR="000B1DFE">
        <w:t xml:space="preserve"> around three main themes: </w:t>
      </w:r>
      <w:hyperlink r:id="rId8" w:history="1">
        <w:r w:rsidR="000B1DFE" w:rsidRPr="00EB2D70">
          <w:rPr>
            <w:rStyle w:val="Hyperlink"/>
          </w:rPr>
          <w:t>Unite, Act, and Eliminate</w:t>
        </w:r>
      </w:hyperlink>
      <w:r w:rsidR="000B1DFE">
        <w:t>.</w:t>
      </w:r>
      <w:r>
        <w:t xml:space="preserve"> The purpose of this campaign is to gather</w:t>
      </w:r>
      <w:r w:rsidRPr="00EB2D70">
        <w:rPr>
          <w:b/>
          <w:bCs/>
        </w:rPr>
        <w:t xml:space="preserve"> </w:t>
      </w:r>
      <w:r w:rsidRPr="00EB2D70">
        <w:rPr>
          <w:i/>
          <w:iCs/>
        </w:rPr>
        <w:t>the global NTD community and contribute to achieving our collective goal</w:t>
      </w:r>
      <w:r w:rsidR="00B618D8">
        <w:rPr>
          <w:i/>
          <w:iCs/>
        </w:rPr>
        <w:t xml:space="preserve"> (Unite)</w:t>
      </w:r>
      <w:r w:rsidRPr="00EB2D70">
        <w:rPr>
          <w:i/>
          <w:iCs/>
        </w:rPr>
        <w:t xml:space="preserve">, foster country commitment, resources, technical guidance, solidarity and coordination </w:t>
      </w:r>
      <w:r w:rsidR="00B618D8">
        <w:rPr>
          <w:i/>
          <w:iCs/>
        </w:rPr>
        <w:t xml:space="preserve">(Act) </w:t>
      </w:r>
      <w:r w:rsidRPr="00EB2D70">
        <w:rPr>
          <w:i/>
          <w:iCs/>
        </w:rPr>
        <w:t>and eventually end NTDs by delivering treatment, reducing transmission, managing disability and combating stigma</w:t>
      </w:r>
      <w:r w:rsidR="00B618D8">
        <w:rPr>
          <w:i/>
          <w:iCs/>
        </w:rPr>
        <w:t xml:space="preserve"> (Eliminate)</w:t>
      </w:r>
      <w:r w:rsidRPr="00EB2D70">
        <w:rPr>
          <w:i/>
          <w:iCs/>
        </w:rPr>
        <w:t>.</w:t>
      </w:r>
    </w:p>
    <w:p w14:paraId="6A7D0D4C" w14:textId="7870851B" w:rsidR="00CE5E9B" w:rsidRPr="00EB2D70" w:rsidRDefault="00B72B11" w:rsidP="00EB2D70">
      <w:pPr>
        <w:rPr>
          <w:b/>
          <w:bCs/>
        </w:rPr>
      </w:pPr>
      <w:r>
        <w:rPr>
          <w:b/>
          <w:bCs/>
          <w:noProof/>
        </w:rPr>
        <w:drawing>
          <wp:inline distT="0" distB="0" distL="0" distR="0" wp14:anchorId="0FAF61A9" wp14:editId="30340ED1">
            <wp:extent cx="5943600" cy="3346022"/>
            <wp:effectExtent l="19050" t="19050" r="19050" b="26035"/>
            <wp:docPr id="975671049" name="Picture 1" descr="A poster of a tropical disease&#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71049" name="Picture 1" descr="A poster of a tropical disease&#10;&#10;Description automatically generated with medium confidenc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6022"/>
                    </a:xfrm>
                    <a:prstGeom prst="rect">
                      <a:avLst/>
                    </a:prstGeom>
                    <a:noFill/>
                    <a:ln>
                      <a:solidFill>
                        <a:schemeClr val="tx1"/>
                      </a:solidFill>
                    </a:ln>
                  </pic:spPr>
                </pic:pic>
              </a:graphicData>
            </a:graphic>
          </wp:inline>
        </w:drawing>
      </w:r>
    </w:p>
    <w:p w14:paraId="6A6106AB" w14:textId="4F69423D" w:rsidR="00CB4CBE" w:rsidRDefault="00EB2D70" w:rsidP="002D4E56">
      <w:hyperlink r:id="rId11" w:history="1">
        <w:r w:rsidRPr="00D74A95">
          <w:rPr>
            <w:rStyle w:val="Hyperlink"/>
          </w:rPr>
          <w:t>Neglected Tropical Diseases (NTDs)</w:t>
        </w:r>
      </w:hyperlink>
      <w:r>
        <w:t xml:space="preserve"> can be effectively controlled. However, global health communities continue to focus primarily on the "big three" diseases</w:t>
      </w:r>
      <w:r w:rsidR="00BD131B">
        <w:t xml:space="preserve">: </w:t>
      </w:r>
      <w:r>
        <w:t>HIV/AIDS, tuberculosis, and malaria</w:t>
      </w:r>
      <w:r w:rsidR="00BD131B">
        <w:t xml:space="preserve">, </w:t>
      </w:r>
      <w:r>
        <w:t xml:space="preserve">even though addressing NTDs can significantly reduce the burden and outcomes associated with these major diseases. </w:t>
      </w:r>
      <w:proofErr w:type="gramStart"/>
      <w:r w:rsidR="00C17F3F">
        <w:t>Similar to</w:t>
      </w:r>
      <w:proofErr w:type="gramEnd"/>
      <w:r w:rsidR="00C17F3F">
        <w:t xml:space="preserve"> the “Big Three”, </w:t>
      </w:r>
      <w:r>
        <w:t xml:space="preserve">NTDs disproportionately affect vulnerable populations, including women, </w:t>
      </w:r>
      <w:r w:rsidR="00C17F3F">
        <w:t xml:space="preserve">and </w:t>
      </w:r>
      <w:r>
        <w:t>children, particularly in low- and middle-income countries (LMICs). These diseases exacerbate and perpetuate poverty, often persisting in communities with limited access to adequate sanitation and medical care, where people are in close contact with infectious vectors, domestic animals, and livestock.</w:t>
      </w:r>
    </w:p>
    <w:p w14:paraId="25B794EF" w14:textId="77777777" w:rsidR="009D1A52" w:rsidRDefault="00EB2D70" w:rsidP="002D4E56">
      <w:hyperlink r:id="rId12" w:anchor=":~:text=of%20the%20world.-,Conclusions,reach%20the%20End%20TB%20goals." w:history="1">
        <w:r w:rsidRPr="003216E7">
          <w:rPr>
            <w:rStyle w:val="Hyperlink"/>
          </w:rPr>
          <w:t>There are significant similarities between tuberculosis (TB) and neglected tropical diseases (NTDs), particularly regarding their impact on public health, poverty, and development, as well as the lack of attention they receive due to insufficient political will and funding.</w:t>
        </w:r>
      </w:hyperlink>
      <w:r>
        <w:t xml:space="preserve"> </w:t>
      </w:r>
      <w:r w:rsidR="003216E7">
        <w:t xml:space="preserve">In </w:t>
      </w:r>
      <w:r>
        <w:t xml:space="preserve">the context of NTDs, </w:t>
      </w:r>
      <w:r w:rsidR="003216E7">
        <w:t xml:space="preserve">joint </w:t>
      </w:r>
      <w:r w:rsidR="000E0645">
        <w:lastRenderedPageBreak/>
        <w:t>programs</w:t>
      </w:r>
      <w:r w:rsidR="003216E7">
        <w:t xml:space="preserve"> such as </w:t>
      </w:r>
      <w:hyperlink r:id="rId13" w:history="1">
        <w:r w:rsidR="003216E7">
          <w:rPr>
            <w:rStyle w:val="Hyperlink"/>
          </w:rPr>
          <w:t>the WHO-led End TB and Leprosy Elimination unit</w:t>
        </w:r>
      </w:hyperlink>
      <w:r w:rsidR="009D4A10">
        <w:t xml:space="preserve"> (in the WHO Western Pacific Region)</w:t>
      </w:r>
      <w:r w:rsidR="003216E7">
        <w:t xml:space="preserve"> </w:t>
      </w:r>
      <w:r>
        <w:t>can help global health programs alter the course of the TB epidemic, reduce TB-related morbidity and mortality, and achieve the End TB goals</w:t>
      </w:r>
      <w:r w:rsidR="003216E7">
        <w:t xml:space="preserve"> along with reducing the burden NTDs such as leprosy.</w:t>
      </w:r>
      <w:r w:rsidR="00175D16">
        <w:t xml:space="preserve"> </w:t>
      </w:r>
    </w:p>
    <w:p w14:paraId="6F55770B" w14:textId="42F6FEE3" w:rsidR="00FA404A" w:rsidRDefault="006521D2" w:rsidP="002D4E56">
      <w:r>
        <w:t>WHO recommends that NTD interventions be integrated into national systems and services</w:t>
      </w:r>
      <w:r w:rsidR="004674AF">
        <w:t xml:space="preserve"> </w:t>
      </w:r>
      <w:r>
        <w:t xml:space="preserve">to maintain progress. The </w:t>
      </w:r>
      <w:hyperlink r:id="rId14" w:tgtFrame="_blank" w:history="1">
        <w:r w:rsidRPr="006521D2">
          <w:rPr>
            <w:rStyle w:val="Hyperlink"/>
          </w:rPr>
          <w:t>NTD road map 2021−2030</w:t>
        </w:r>
      </w:hyperlink>
      <w:r>
        <w:t xml:space="preserve"> aims to transition from vertical disease programs to more integrated, cross-cutting approaches. The focus is on making smarter investments that enhance overall health and well-being by 2030. </w:t>
      </w:r>
    </w:p>
    <w:p w14:paraId="5D19B1F1" w14:textId="39BA7CA6" w:rsidR="004674AF" w:rsidRDefault="004674AF" w:rsidP="002D4E56">
      <w:r>
        <w:t xml:space="preserve">As TB community, working </w:t>
      </w:r>
      <w:r w:rsidR="00FF617A">
        <w:t xml:space="preserve">with a wide range of </w:t>
      </w:r>
      <w:r w:rsidR="007A46CA">
        <w:t>c</w:t>
      </w:r>
      <w:r>
        <w:t xml:space="preserve">are </w:t>
      </w:r>
      <w:r w:rsidR="00FF617A">
        <w:t>providers</w:t>
      </w:r>
      <w:r w:rsidR="007A46CA">
        <w:t xml:space="preserve"> let us </w:t>
      </w:r>
      <w:r w:rsidR="00465E0E">
        <w:t xml:space="preserve">speak up </w:t>
      </w:r>
      <w:r w:rsidR="007A46CA">
        <w:t xml:space="preserve">for the people that are affected by </w:t>
      </w:r>
      <w:r w:rsidR="00465E0E">
        <w:t>infectious diseases</w:t>
      </w:r>
      <w:r w:rsidR="00313F61">
        <w:t xml:space="preserve">, and join today’s </w:t>
      </w:r>
      <w:r w:rsidR="00B739DB">
        <w:t xml:space="preserve">attention to </w:t>
      </w:r>
      <w:r w:rsidR="00313F61">
        <w:t>#BeatNTDs</w:t>
      </w:r>
      <w:r w:rsidR="00B739DB">
        <w:t>.</w:t>
      </w:r>
    </w:p>
    <w:p w14:paraId="663447F7" w14:textId="77777777" w:rsidR="00FA404A" w:rsidRDefault="00FA404A" w:rsidP="002D4E56"/>
    <w:p w14:paraId="3592C30C" w14:textId="5473A1F9" w:rsidR="00FA404A" w:rsidRDefault="003E2E51" w:rsidP="003E2E51">
      <w:pPr>
        <w:jc w:val="center"/>
      </w:pPr>
      <w:r>
        <w:rPr>
          <w:noProof/>
        </w:rPr>
        <w:drawing>
          <wp:inline distT="0" distB="0" distL="0" distR="0" wp14:anchorId="562E5B14" wp14:editId="0AFDD5DC">
            <wp:extent cx="3562350" cy="3562350"/>
            <wp:effectExtent l="0" t="0" r="0" b="0"/>
            <wp:docPr id="356170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2350" cy="3562350"/>
                    </a:xfrm>
                    <a:prstGeom prst="rect">
                      <a:avLst/>
                    </a:prstGeom>
                    <a:noFill/>
                  </pic:spPr>
                </pic:pic>
              </a:graphicData>
            </a:graphic>
          </wp:inline>
        </w:drawing>
      </w:r>
    </w:p>
    <w:p w14:paraId="2FFF4848" w14:textId="515F7F2A" w:rsidR="00632EB2" w:rsidRDefault="00B3120C" w:rsidP="003E2E51">
      <w:pPr>
        <w:jc w:val="center"/>
      </w:pPr>
      <w:r>
        <w:t xml:space="preserve">Support </w:t>
      </w:r>
      <w:r w:rsidR="00632EB2">
        <w:t xml:space="preserve">the </w:t>
      </w:r>
      <w:r w:rsidRPr="00B3120C">
        <w:t xml:space="preserve">action to #BeatNTDs </w:t>
      </w:r>
      <w:r w:rsidR="008C03BB">
        <w:t>and share information today from the</w:t>
      </w:r>
      <w:r w:rsidR="00ED5D9E">
        <w:t xml:space="preserve"> </w:t>
      </w:r>
      <w:hyperlink r:id="rId16" w:history="1">
        <w:r w:rsidR="00ED5D9E" w:rsidRPr="009A05A7">
          <w:rPr>
            <w:rStyle w:val="Hyperlink"/>
          </w:rPr>
          <w:t>social media toolkit</w:t>
        </w:r>
      </w:hyperlink>
      <w:r w:rsidR="00ED5D9E">
        <w:t xml:space="preserve"> </w:t>
      </w:r>
    </w:p>
    <w:p w14:paraId="1ADA012C" w14:textId="06F63FEE" w:rsidR="00ED5D9E" w:rsidRDefault="00632EB2" w:rsidP="003E2E51">
      <w:pPr>
        <w:jc w:val="center"/>
      </w:pPr>
      <w:r>
        <w:rPr>
          <w:rStyle w:val="Strong"/>
          <w:rFonts w:ascii="Barlow" w:hAnsi="Barlow"/>
          <w:color w:val="334155"/>
          <w:sz w:val="27"/>
          <w:szCs w:val="27"/>
          <w:shd w:val="clear" w:color="auto" w:fill="FFFFFF"/>
        </w:rPr>
        <w:t>#UniteActEliminate #WorldNTDDay #BeatNTDs</w:t>
      </w:r>
    </w:p>
    <w:p w14:paraId="7F65CB6D" w14:textId="77777777" w:rsidR="00FA404A" w:rsidRDefault="00FA404A" w:rsidP="002D4E56"/>
    <w:p w14:paraId="046B6B27" w14:textId="07202DD9" w:rsidR="003D1C2A" w:rsidRDefault="003D1C2A"/>
    <w:sectPr w:rsidR="003D1C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E8"/>
    <w:rsid w:val="0008167D"/>
    <w:rsid w:val="00084AD3"/>
    <w:rsid w:val="000B1DFE"/>
    <w:rsid w:val="000B7A69"/>
    <w:rsid w:val="000E0645"/>
    <w:rsid w:val="000E565B"/>
    <w:rsid w:val="00153A03"/>
    <w:rsid w:val="00175D16"/>
    <w:rsid w:val="00210ECC"/>
    <w:rsid w:val="002D4E56"/>
    <w:rsid w:val="00313F61"/>
    <w:rsid w:val="003216E7"/>
    <w:rsid w:val="00361489"/>
    <w:rsid w:val="00366E32"/>
    <w:rsid w:val="003966C7"/>
    <w:rsid w:val="003A1F5B"/>
    <w:rsid w:val="003D1C2A"/>
    <w:rsid w:val="003E2E51"/>
    <w:rsid w:val="0045255A"/>
    <w:rsid w:val="00465E0E"/>
    <w:rsid w:val="004674AF"/>
    <w:rsid w:val="00472225"/>
    <w:rsid w:val="004A16A0"/>
    <w:rsid w:val="005344C5"/>
    <w:rsid w:val="00632EB2"/>
    <w:rsid w:val="006521D2"/>
    <w:rsid w:val="007A46CA"/>
    <w:rsid w:val="008C03BB"/>
    <w:rsid w:val="00941058"/>
    <w:rsid w:val="00952590"/>
    <w:rsid w:val="009A05A7"/>
    <w:rsid w:val="009A0A08"/>
    <w:rsid w:val="009D1A52"/>
    <w:rsid w:val="009D4A10"/>
    <w:rsid w:val="00AC795D"/>
    <w:rsid w:val="00B3120C"/>
    <w:rsid w:val="00B55445"/>
    <w:rsid w:val="00B618D8"/>
    <w:rsid w:val="00B72B11"/>
    <w:rsid w:val="00B739DB"/>
    <w:rsid w:val="00BD131B"/>
    <w:rsid w:val="00BF1A25"/>
    <w:rsid w:val="00C17F3F"/>
    <w:rsid w:val="00CA4D06"/>
    <w:rsid w:val="00CB4CBE"/>
    <w:rsid w:val="00CE5E9B"/>
    <w:rsid w:val="00D0103E"/>
    <w:rsid w:val="00D4046E"/>
    <w:rsid w:val="00D74A95"/>
    <w:rsid w:val="00D837D1"/>
    <w:rsid w:val="00E2014A"/>
    <w:rsid w:val="00EB2D70"/>
    <w:rsid w:val="00ED5D9E"/>
    <w:rsid w:val="00EF277A"/>
    <w:rsid w:val="00FA404A"/>
    <w:rsid w:val="00FA4BE8"/>
    <w:rsid w:val="00FA66FE"/>
    <w:rsid w:val="00FF61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CA9A4"/>
  <w15:chartTrackingRefBased/>
  <w15:docId w15:val="{798F08AF-AED1-46AA-92F7-A9DF061F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E8"/>
    <w:rPr>
      <w:rFonts w:eastAsiaTheme="majorEastAsia" w:cstheme="majorBidi"/>
      <w:color w:val="272727" w:themeColor="text1" w:themeTint="D8"/>
    </w:rPr>
  </w:style>
  <w:style w:type="paragraph" w:styleId="Title">
    <w:name w:val="Title"/>
    <w:basedOn w:val="Normal"/>
    <w:next w:val="Normal"/>
    <w:link w:val="TitleChar"/>
    <w:uiPriority w:val="10"/>
    <w:qFormat/>
    <w:rsid w:val="00FA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E8"/>
    <w:pPr>
      <w:spacing w:before="160"/>
      <w:jc w:val="center"/>
    </w:pPr>
    <w:rPr>
      <w:i/>
      <w:iCs/>
      <w:color w:val="404040" w:themeColor="text1" w:themeTint="BF"/>
    </w:rPr>
  </w:style>
  <w:style w:type="character" w:customStyle="1" w:styleId="QuoteChar">
    <w:name w:val="Quote Char"/>
    <w:basedOn w:val="DefaultParagraphFont"/>
    <w:link w:val="Quote"/>
    <w:uiPriority w:val="29"/>
    <w:rsid w:val="00FA4BE8"/>
    <w:rPr>
      <w:i/>
      <w:iCs/>
      <w:color w:val="404040" w:themeColor="text1" w:themeTint="BF"/>
    </w:rPr>
  </w:style>
  <w:style w:type="paragraph" w:styleId="ListParagraph">
    <w:name w:val="List Paragraph"/>
    <w:basedOn w:val="Normal"/>
    <w:uiPriority w:val="34"/>
    <w:qFormat/>
    <w:rsid w:val="00FA4BE8"/>
    <w:pPr>
      <w:ind w:left="720"/>
      <w:contextualSpacing/>
    </w:pPr>
  </w:style>
  <w:style w:type="character" w:styleId="IntenseEmphasis">
    <w:name w:val="Intense Emphasis"/>
    <w:basedOn w:val="DefaultParagraphFont"/>
    <w:uiPriority w:val="21"/>
    <w:qFormat/>
    <w:rsid w:val="00FA4BE8"/>
    <w:rPr>
      <w:i/>
      <w:iCs/>
      <w:color w:val="0F4761" w:themeColor="accent1" w:themeShade="BF"/>
    </w:rPr>
  </w:style>
  <w:style w:type="paragraph" w:styleId="IntenseQuote">
    <w:name w:val="Intense Quote"/>
    <w:basedOn w:val="Normal"/>
    <w:next w:val="Normal"/>
    <w:link w:val="IntenseQuoteChar"/>
    <w:uiPriority w:val="30"/>
    <w:qFormat/>
    <w:rsid w:val="00FA4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E8"/>
    <w:rPr>
      <w:i/>
      <w:iCs/>
      <w:color w:val="0F4761" w:themeColor="accent1" w:themeShade="BF"/>
    </w:rPr>
  </w:style>
  <w:style w:type="character" w:styleId="IntenseReference">
    <w:name w:val="Intense Reference"/>
    <w:basedOn w:val="DefaultParagraphFont"/>
    <w:uiPriority w:val="32"/>
    <w:qFormat/>
    <w:rsid w:val="00FA4BE8"/>
    <w:rPr>
      <w:b/>
      <w:bCs/>
      <w:smallCaps/>
      <w:color w:val="0F4761" w:themeColor="accent1" w:themeShade="BF"/>
      <w:spacing w:val="5"/>
    </w:rPr>
  </w:style>
  <w:style w:type="character" w:styleId="Hyperlink">
    <w:name w:val="Hyperlink"/>
    <w:basedOn w:val="DefaultParagraphFont"/>
    <w:uiPriority w:val="99"/>
    <w:unhideWhenUsed/>
    <w:rsid w:val="00CB4CBE"/>
    <w:rPr>
      <w:color w:val="467886" w:themeColor="hyperlink"/>
      <w:u w:val="single"/>
    </w:rPr>
  </w:style>
  <w:style w:type="character" w:styleId="UnresolvedMention">
    <w:name w:val="Unresolved Mention"/>
    <w:basedOn w:val="DefaultParagraphFont"/>
    <w:uiPriority w:val="99"/>
    <w:semiHidden/>
    <w:unhideWhenUsed/>
    <w:rsid w:val="00CB4CBE"/>
    <w:rPr>
      <w:color w:val="605E5C"/>
      <w:shd w:val="clear" w:color="auto" w:fill="E1DFDD"/>
    </w:rPr>
  </w:style>
  <w:style w:type="character" w:styleId="FollowedHyperlink">
    <w:name w:val="FollowedHyperlink"/>
    <w:basedOn w:val="DefaultParagraphFont"/>
    <w:uiPriority w:val="99"/>
    <w:semiHidden/>
    <w:unhideWhenUsed/>
    <w:rsid w:val="000B1DFE"/>
    <w:rPr>
      <w:color w:val="96607D" w:themeColor="followedHyperlink"/>
      <w:u w:val="single"/>
    </w:rPr>
  </w:style>
  <w:style w:type="character" w:styleId="Strong">
    <w:name w:val="Strong"/>
    <w:basedOn w:val="DefaultParagraphFont"/>
    <w:uiPriority w:val="22"/>
    <w:qFormat/>
    <w:rsid w:val="00632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688">
      <w:bodyDiv w:val="1"/>
      <w:marLeft w:val="0"/>
      <w:marRight w:val="0"/>
      <w:marTop w:val="0"/>
      <w:marBottom w:val="0"/>
      <w:divBdr>
        <w:top w:val="none" w:sz="0" w:space="0" w:color="auto"/>
        <w:left w:val="none" w:sz="0" w:space="0" w:color="auto"/>
        <w:bottom w:val="none" w:sz="0" w:space="0" w:color="auto"/>
        <w:right w:val="none" w:sz="0" w:space="0" w:color="auto"/>
      </w:divBdr>
    </w:div>
    <w:div w:id="120266561">
      <w:bodyDiv w:val="1"/>
      <w:marLeft w:val="0"/>
      <w:marRight w:val="0"/>
      <w:marTop w:val="0"/>
      <w:marBottom w:val="0"/>
      <w:divBdr>
        <w:top w:val="none" w:sz="0" w:space="0" w:color="auto"/>
        <w:left w:val="none" w:sz="0" w:space="0" w:color="auto"/>
        <w:bottom w:val="none" w:sz="0" w:space="0" w:color="auto"/>
        <w:right w:val="none" w:sz="0" w:space="0" w:color="auto"/>
      </w:divBdr>
    </w:div>
    <w:div w:id="282005097">
      <w:bodyDiv w:val="1"/>
      <w:marLeft w:val="0"/>
      <w:marRight w:val="0"/>
      <w:marTop w:val="0"/>
      <w:marBottom w:val="0"/>
      <w:divBdr>
        <w:top w:val="none" w:sz="0" w:space="0" w:color="auto"/>
        <w:left w:val="none" w:sz="0" w:space="0" w:color="auto"/>
        <w:bottom w:val="none" w:sz="0" w:space="0" w:color="auto"/>
        <w:right w:val="none" w:sz="0" w:space="0" w:color="auto"/>
      </w:divBdr>
    </w:div>
    <w:div w:id="607005380">
      <w:bodyDiv w:val="1"/>
      <w:marLeft w:val="0"/>
      <w:marRight w:val="0"/>
      <w:marTop w:val="0"/>
      <w:marBottom w:val="0"/>
      <w:divBdr>
        <w:top w:val="none" w:sz="0" w:space="0" w:color="auto"/>
        <w:left w:val="none" w:sz="0" w:space="0" w:color="auto"/>
        <w:bottom w:val="none" w:sz="0" w:space="0" w:color="auto"/>
        <w:right w:val="none" w:sz="0" w:space="0" w:color="auto"/>
      </w:divBdr>
    </w:div>
    <w:div w:id="666328293">
      <w:bodyDiv w:val="1"/>
      <w:marLeft w:val="0"/>
      <w:marRight w:val="0"/>
      <w:marTop w:val="0"/>
      <w:marBottom w:val="0"/>
      <w:divBdr>
        <w:top w:val="none" w:sz="0" w:space="0" w:color="auto"/>
        <w:left w:val="none" w:sz="0" w:space="0" w:color="auto"/>
        <w:bottom w:val="none" w:sz="0" w:space="0" w:color="auto"/>
        <w:right w:val="none" w:sz="0" w:space="0" w:color="auto"/>
      </w:divBdr>
    </w:div>
    <w:div w:id="776103575">
      <w:bodyDiv w:val="1"/>
      <w:marLeft w:val="0"/>
      <w:marRight w:val="0"/>
      <w:marTop w:val="0"/>
      <w:marBottom w:val="0"/>
      <w:divBdr>
        <w:top w:val="none" w:sz="0" w:space="0" w:color="auto"/>
        <w:left w:val="none" w:sz="0" w:space="0" w:color="auto"/>
        <w:bottom w:val="none" w:sz="0" w:space="0" w:color="auto"/>
        <w:right w:val="none" w:sz="0" w:space="0" w:color="auto"/>
      </w:divBdr>
    </w:div>
    <w:div w:id="902759980">
      <w:bodyDiv w:val="1"/>
      <w:marLeft w:val="0"/>
      <w:marRight w:val="0"/>
      <w:marTop w:val="0"/>
      <w:marBottom w:val="0"/>
      <w:divBdr>
        <w:top w:val="none" w:sz="0" w:space="0" w:color="auto"/>
        <w:left w:val="none" w:sz="0" w:space="0" w:color="auto"/>
        <w:bottom w:val="none" w:sz="0" w:space="0" w:color="auto"/>
        <w:right w:val="none" w:sz="0" w:space="0" w:color="auto"/>
      </w:divBdr>
    </w:div>
    <w:div w:id="1514538914">
      <w:bodyDiv w:val="1"/>
      <w:marLeft w:val="0"/>
      <w:marRight w:val="0"/>
      <w:marTop w:val="0"/>
      <w:marBottom w:val="0"/>
      <w:divBdr>
        <w:top w:val="none" w:sz="0" w:space="0" w:color="auto"/>
        <w:left w:val="none" w:sz="0" w:space="0" w:color="auto"/>
        <w:bottom w:val="none" w:sz="0" w:space="0" w:color="auto"/>
        <w:right w:val="none" w:sz="0" w:space="0" w:color="auto"/>
      </w:divBdr>
    </w:div>
    <w:div w:id="1660767098">
      <w:bodyDiv w:val="1"/>
      <w:marLeft w:val="0"/>
      <w:marRight w:val="0"/>
      <w:marTop w:val="0"/>
      <w:marBottom w:val="0"/>
      <w:divBdr>
        <w:top w:val="none" w:sz="0" w:space="0" w:color="auto"/>
        <w:left w:val="none" w:sz="0" w:space="0" w:color="auto"/>
        <w:bottom w:val="none" w:sz="0" w:space="0" w:color="auto"/>
        <w:right w:val="none" w:sz="0" w:space="0" w:color="auto"/>
      </w:divBdr>
    </w:div>
    <w:div w:id="1746607496">
      <w:bodyDiv w:val="1"/>
      <w:marLeft w:val="0"/>
      <w:marRight w:val="0"/>
      <w:marTop w:val="0"/>
      <w:marBottom w:val="0"/>
      <w:divBdr>
        <w:top w:val="none" w:sz="0" w:space="0" w:color="auto"/>
        <w:left w:val="none" w:sz="0" w:space="0" w:color="auto"/>
        <w:bottom w:val="none" w:sz="0" w:space="0" w:color="auto"/>
        <w:right w:val="none" w:sz="0" w:space="0" w:color="auto"/>
      </w:divBdr>
    </w:div>
    <w:div w:id="1774201741">
      <w:bodyDiv w:val="1"/>
      <w:marLeft w:val="0"/>
      <w:marRight w:val="0"/>
      <w:marTop w:val="0"/>
      <w:marBottom w:val="0"/>
      <w:divBdr>
        <w:top w:val="none" w:sz="0" w:space="0" w:color="auto"/>
        <w:left w:val="none" w:sz="0" w:space="0" w:color="auto"/>
        <w:bottom w:val="none" w:sz="0" w:space="0" w:color="auto"/>
        <w:right w:val="none" w:sz="0" w:space="0" w:color="auto"/>
      </w:divBdr>
    </w:div>
    <w:div w:id="1820465187">
      <w:bodyDiv w:val="1"/>
      <w:marLeft w:val="0"/>
      <w:marRight w:val="0"/>
      <w:marTop w:val="0"/>
      <w:marBottom w:val="0"/>
      <w:divBdr>
        <w:top w:val="none" w:sz="0" w:space="0" w:color="auto"/>
        <w:left w:val="none" w:sz="0" w:space="0" w:color="auto"/>
        <w:bottom w:val="none" w:sz="0" w:space="0" w:color="auto"/>
        <w:right w:val="none" w:sz="0" w:space="0" w:color="auto"/>
      </w:divBdr>
    </w:div>
    <w:div w:id="1913198774">
      <w:bodyDiv w:val="1"/>
      <w:marLeft w:val="0"/>
      <w:marRight w:val="0"/>
      <w:marTop w:val="0"/>
      <w:marBottom w:val="0"/>
      <w:divBdr>
        <w:top w:val="none" w:sz="0" w:space="0" w:color="auto"/>
        <w:left w:val="none" w:sz="0" w:space="0" w:color="auto"/>
        <w:bottom w:val="none" w:sz="0" w:space="0" w:color="auto"/>
        <w:right w:val="none" w:sz="0" w:space="0" w:color="auto"/>
      </w:divBdr>
    </w:div>
    <w:div w:id="19747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ampaigns/world-ntd-day/2025" TargetMode="External"/><Relationship Id="rId13" Type="http://schemas.openxmlformats.org/officeDocument/2006/relationships/hyperlink" Target="https://www.who.int/westernpacific/about/how-we-work/programmes/end-tb-and-leprosy-un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ncbi.nlm.nih.gov/books/NBK62509/" TargetMode="External"/><Relationship Id="rId12" Type="http://schemas.openxmlformats.org/officeDocument/2006/relationships/hyperlink" Target="https://pmc.ncbi.nlm.nih.gov/articles/PMC100223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drive/folders/1qYkLqVVSwefs5bFALvm2aPBSOzsAPL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campaigns/world-ntd-day/2025/brief-outline"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who.int/campaigns/world-ntd-day/2025/brief-outline" TargetMode="External"/><Relationship Id="rId14" Type="http://schemas.openxmlformats.org/officeDocument/2006/relationships/hyperlink" Target="https://www.who.int/teams/control-of-neglected-tropical-diseases/ending-ntds-together-towards-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AA2B66B8BBF4BA7044F53451CA999" ma:contentTypeVersion="15" ma:contentTypeDescription="Create a new document." ma:contentTypeScope="" ma:versionID="8f5f2a29152c70102b8ce3523e32acff">
  <xsd:schema xmlns:xsd="http://www.w3.org/2001/XMLSchema" xmlns:xs="http://www.w3.org/2001/XMLSchema" xmlns:p="http://schemas.microsoft.com/office/2006/metadata/properties" xmlns:ns2="b61ba323-b992-4015-9b56-c101e93c12e2" xmlns:ns3="efb8e558-0c77-416f-ba8d-e73758b7c79e" targetNamespace="http://schemas.microsoft.com/office/2006/metadata/properties" ma:root="true" ma:fieldsID="6fd4a4d0d2148806c3febd9b08b34d8d" ns2:_="" ns3:_="">
    <xsd:import namespace="b61ba323-b992-4015-9b56-c101e93c12e2"/>
    <xsd:import namespace="efb8e558-0c77-416f-ba8d-e73758b7c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ba323-b992-4015-9b56-c101e93c1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19d66-2408-42db-9179-4abcf323f2d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8e558-0c77-416f-ba8d-e73758b7c7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7f08e7-af46-4499-8fbe-f6e817c39728}" ma:internalName="TaxCatchAll" ma:showField="CatchAllData" ma:web="efb8e558-0c77-416f-ba8d-e73758b7c7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ba323-b992-4015-9b56-c101e93c12e2">
      <Terms xmlns="http://schemas.microsoft.com/office/infopath/2007/PartnerControls"/>
    </lcf76f155ced4ddcb4097134ff3c332f>
    <TaxCatchAll xmlns="efb8e558-0c77-416f-ba8d-e73758b7c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56A5D-47C8-468C-999A-46FD655E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ba323-b992-4015-9b56-c101e93c12e2"/>
    <ds:schemaRef ds:uri="efb8e558-0c77-416f-ba8d-e73758b7c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585F6-49B0-4926-8B28-059D8179C012}">
  <ds:schemaRefs>
    <ds:schemaRef ds:uri="http://schemas.microsoft.com/office/2006/metadata/properties"/>
    <ds:schemaRef ds:uri="http://schemas.microsoft.com/office/infopath/2007/PartnerControls"/>
    <ds:schemaRef ds:uri="b61ba323-b992-4015-9b56-c101e93c12e2"/>
    <ds:schemaRef ds:uri="efb8e558-0c77-416f-ba8d-e73758b7c79e"/>
  </ds:schemaRefs>
</ds:datastoreItem>
</file>

<file path=customXml/itemProps3.xml><?xml version="1.0" encoding="utf-8"?>
<ds:datastoreItem xmlns:ds="http://schemas.openxmlformats.org/officeDocument/2006/customXml" ds:itemID="{D54E73C7-4442-4ACA-9718-8AB8D64FA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 Abdullah</dc:creator>
  <cp:keywords/>
  <dc:description/>
  <cp:lastModifiedBy>Samantha Ayoub</cp:lastModifiedBy>
  <cp:revision>2</cp:revision>
  <dcterms:created xsi:type="dcterms:W3CDTF">2025-01-30T13:37:00Z</dcterms:created>
  <dcterms:modified xsi:type="dcterms:W3CDTF">2025-01-30T13:37:00Z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c7e3114a6547a615b90d662fef7be163ddf072cea61451c01494e4a7867459ea</vt:lpwstr>
  </property>
  <property fmtid="{D5CDD505-2E9C-101B-9397-08002B2CF9AE}" pid="3" name="ContentTypeId">
    <vt:lpwstr>0x010100314AA2B66B8BBF4BA7044F53451CA999</vt:lpwstr>
  </property>
  <property fmtid="{D5CDD505-2E9C-101B-9397-08002B2CF9AE}" pid="4" name="MediaServiceImageTags">
    <vt:lpwstr/>
  </property>
</Properties>
</file>