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9CF53" w14:textId="77777777" w:rsidR="00B20430" w:rsidRPr="00292409" w:rsidRDefault="00120B29" w:rsidP="00E155A8">
      <w:pPr>
        <w:pStyle w:val="Title"/>
      </w:pPr>
      <w:r>
        <w:rPr>
          <w:noProof/>
          <w:lang w:eastAsia="en-GB"/>
        </w:rPr>
        <mc:AlternateContent>
          <mc:Choice Requires="wps">
            <w:drawing>
              <wp:anchor distT="45720" distB="45720" distL="114300" distR="114300" simplePos="0" relativeHeight="251663360" behindDoc="0" locked="0" layoutInCell="1" allowOverlap="1" wp14:anchorId="1E122B89" wp14:editId="3A1CE7A8">
                <wp:simplePos x="0" y="0"/>
                <wp:positionH relativeFrom="margin">
                  <wp:align>left</wp:align>
                </wp:positionH>
                <wp:positionV relativeFrom="paragraph">
                  <wp:posOffset>619760</wp:posOffset>
                </wp:positionV>
                <wp:extent cx="5981700" cy="14947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494790"/>
                        </a:xfrm>
                        <a:prstGeom prst="rect">
                          <a:avLst/>
                        </a:prstGeom>
                        <a:solidFill>
                          <a:srgbClr val="FFFFFF"/>
                        </a:solidFill>
                        <a:ln w="9525">
                          <a:noFill/>
                          <a:miter lim="800000"/>
                          <a:headEnd/>
                          <a:tailEnd/>
                        </a:ln>
                      </wps:spPr>
                      <wps:txbx>
                        <w:txbxContent>
                          <w:p w14:paraId="687A2C20" w14:textId="14E8DC6C" w:rsidR="00C47651" w:rsidRPr="00435F11" w:rsidRDefault="00C47651" w:rsidP="000A7BC3">
                            <w:pPr>
                              <w:jc w:val="both"/>
                              <w:rPr>
                                <w:b/>
                                <w:sz w:val="32"/>
                              </w:rPr>
                            </w:pPr>
                            <w:r>
                              <w:rPr>
                                <w:b/>
                                <w:sz w:val="32"/>
                              </w:rPr>
                              <w:t xml:space="preserve">Stopping </w:t>
                            </w:r>
                            <w:r w:rsidRPr="00435F11">
                              <w:rPr>
                                <w:b/>
                                <w:sz w:val="32"/>
                              </w:rPr>
                              <w:t>ecosystem</w:t>
                            </w:r>
                            <w:r w:rsidR="00061122">
                              <w:rPr>
                                <w:b/>
                                <w:sz w:val="32"/>
                              </w:rPr>
                              <w:t xml:space="preserve"> and climate</w:t>
                            </w:r>
                            <w:r w:rsidRPr="00435F11">
                              <w:rPr>
                                <w:b/>
                                <w:sz w:val="32"/>
                              </w:rPr>
                              <w:t xml:space="preserve">-harming unsustainable </w:t>
                            </w:r>
                            <w:r w:rsidR="00790FB8">
                              <w:rPr>
                                <w:b/>
                                <w:sz w:val="32"/>
                              </w:rPr>
                              <w:t>bio</w:t>
                            </w:r>
                            <w:r w:rsidRPr="00435F11">
                              <w:rPr>
                                <w:b/>
                                <w:sz w:val="32"/>
                              </w:rPr>
                              <w:t xml:space="preserve">energy, </w:t>
                            </w:r>
                            <w:r w:rsidR="00B6700E">
                              <w:rPr>
                                <w:b/>
                                <w:sz w:val="32"/>
                              </w:rPr>
                              <w:t xml:space="preserve">linking </w:t>
                            </w:r>
                            <w:r>
                              <w:rPr>
                                <w:b/>
                                <w:sz w:val="32"/>
                              </w:rPr>
                              <w:t>key drivers</w:t>
                            </w:r>
                            <w:r w:rsidR="00B6700E">
                              <w:rPr>
                                <w:b/>
                                <w:sz w:val="32"/>
                              </w:rPr>
                              <w:t xml:space="preserve"> of unsustainable </w:t>
                            </w:r>
                            <w:r w:rsidR="00B6700E" w:rsidRPr="00435F11">
                              <w:rPr>
                                <w:b/>
                                <w:sz w:val="32"/>
                              </w:rPr>
                              <w:t>land use and forest management</w:t>
                            </w:r>
                            <w:r w:rsidR="00B6700E">
                              <w:rPr>
                                <w:b/>
                                <w:sz w:val="32"/>
                              </w:rPr>
                              <w:t>,</w:t>
                            </w:r>
                            <w:r w:rsidR="00B6700E" w:rsidRPr="00435F11">
                              <w:rPr>
                                <w:b/>
                                <w:sz w:val="32"/>
                              </w:rPr>
                              <w:t xml:space="preserve"> </w:t>
                            </w:r>
                            <w:r>
                              <w:rPr>
                                <w:b/>
                                <w:sz w:val="32"/>
                              </w:rPr>
                              <w:t xml:space="preserve">and highlighting </w:t>
                            </w:r>
                            <w:r w:rsidRPr="00435F11">
                              <w:rPr>
                                <w:b/>
                                <w:sz w:val="32"/>
                              </w:rPr>
                              <w:t>deviations from European Union climate and environmental ambition to inform policy decisions and reform</w:t>
                            </w:r>
                          </w:p>
                          <w:p w14:paraId="31FBAAD5" w14:textId="35BC31A6" w:rsidR="00C47651" w:rsidRPr="00011C8D" w:rsidRDefault="00C47651" w:rsidP="00011C8D">
                            <w:pPr>
                              <w:spacing w:after="0"/>
                              <w:jc w:val="both"/>
                              <w:rPr>
                                <w:sz w:val="28"/>
                              </w:rPr>
                            </w:pPr>
                            <w:r w:rsidRPr="00A97F36">
                              <w:rPr>
                                <w:sz w:val="28"/>
                              </w:rPr>
                              <w:t xml:space="preserve">Submissions by </w:t>
                            </w:r>
                            <w:r w:rsidR="009A22CE">
                              <w:rPr>
                                <w:sz w:val="28"/>
                              </w:rPr>
                              <w:t>31</w:t>
                            </w:r>
                            <w:r w:rsidRPr="00A97F36">
                              <w:rPr>
                                <w:sz w:val="28"/>
                              </w:rPr>
                              <w:t xml:space="preserve"> </w:t>
                            </w:r>
                            <w:r w:rsidR="00A97F36" w:rsidRPr="00A97F36">
                              <w:rPr>
                                <w:sz w:val="28"/>
                              </w:rPr>
                              <w:t xml:space="preserve">March </w:t>
                            </w:r>
                            <w:r w:rsidRPr="00A97F36">
                              <w:rPr>
                                <w:sz w:val="28"/>
                              </w:rPr>
                              <w:t>202</w:t>
                            </w:r>
                            <w:r w:rsidR="00A97F36" w:rsidRPr="00A97F36">
                              <w:rPr>
                                <w:sz w:val="28"/>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122B89" id="_x0000_t202" coordsize="21600,21600" o:spt="202" path="m,l,21600r21600,l21600,xe">
                <v:stroke joinstyle="miter"/>
                <v:path gradientshapeok="t" o:connecttype="rect"/>
              </v:shapetype>
              <v:shape id="Text Box 2" o:spid="_x0000_s1026" type="#_x0000_t202" style="position:absolute;margin-left:0;margin-top:48.8pt;width:471pt;height:117.7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" stroked="f">
                <v:textbox>
                  <w:txbxContent>
                    <w:p w14:paraId="687A2C20" w14:textId="14E8DC6C" w:rsidR="00C47651" w:rsidRPr="00435F11" w:rsidRDefault="00C47651" w:rsidP="000A7BC3">
                      <w:pPr>
                        <w:jc w:val="both"/>
                        <w:rPr>
                          <w:b/>
                          <w:sz w:val="32"/>
                        </w:rPr>
                      </w:pPr>
                      <w:r>
                        <w:rPr>
                          <w:b/>
                          <w:sz w:val="32"/>
                        </w:rPr>
                        <w:t xml:space="preserve">Stopping </w:t>
                      </w:r>
                      <w:r w:rsidRPr="00435F11">
                        <w:rPr>
                          <w:b/>
                          <w:sz w:val="32"/>
                        </w:rPr>
                        <w:t>ecosystem</w:t>
                      </w:r>
                      <w:r w:rsidR="00061122">
                        <w:rPr>
                          <w:b/>
                          <w:sz w:val="32"/>
                        </w:rPr>
                        <w:t xml:space="preserve"> and climate</w:t>
                      </w:r>
                      <w:r w:rsidRPr="00435F11">
                        <w:rPr>
                          <w:b/>
                          <w:sz w:val="32"/>
                        </w:rPr>
                        <w:t xml:space="preserve">-harming unsustainable </w:t>
                      </w:r>
                      <w:r w:rsidR="00790FB8">
                        <w:rPr>
                          <w:b/>
                          <w:sz w:val="32"/>
                        </w:rPr>
                        <w:t>bio</w:t>
                      </w:r>
                      <w:r w:rsidRPr="00435F11">
                        <w:rPr>
                          <w:b/>
                          <w:sz w:val="32"/>
                        </w:rPr>
                        <w:t xml:space="preserve">energy, </w:t>
                      </w:r>
                      <w:r w:rsidR="00B6700E">
                        <w:rPr>
                          <w:b/>
                          <w:sz w:val="32"/>
                        </w:rPr>
                        <w:t xml:space="preserve">linking </w:t>
                      </w:r>
                      <w:r>
                        <w:rPr>
                          <w:b/>
                          <w:sz w:val="32"/>
                        </w:rPr>
                        <w:t>key drivers</w:t>
                      </w:r>
                      <w:r w:rsidR="00B6700E">
                        <w:rPr>
                          <w:b/>
                          <w:sz w:val="32"/>
                        </w:rPr>
                        <w:t xml:space="preserve"> of unsustainable </w:t>
                      </w:r>
                      <w:r w:rsidR="00B6700E" w:rsidRPr="00435F11">
                        <w:rPr>
                          <w:b/>
                          <w:sz w:val="32"/>
                        </w:rPr>
                        <w:t>land use and forest management</w:t>
                      </w:r>
                      <w:r w:rsidR="00B6700E">
                        <w:rPr>
                          <w:b/>
                          <w:sz w:val="32"/>
                        </w:rPr>
                        <w:t>,</w:t>
                      </w:r>
                      <w:r w:rsidR="00B6700E" w:rsidRPr="00435F11">
                        <w:rPr>
                          <w:b/>
                          <w:sz w:val="32"/>
                        </w:rPr>
                        <w:t xml:space="preserve"> </w:t>
                      </w:r>
                      <w:r>
                        <w:rPr>
                          <w:b/>
                          <w:sz w:val="32"/>
                        </w:rPr>
                        <w:t xml:space="preserve">and highlighting </w:t>
                      </w:r>
                      <w:r w:rsidRPr="00435F11">
                        <w:rPr>
                          <w:b/>
                          <w:sz w:val="32"/>
                        </w:rPr>
                        <w:t>deviations from European Union climate and environmental ambition to inform policy decisions and reform</w:t>
                      </w:r>
                    </w:p>
                    <w:p w14:paraId="31FBAAD5" w14:textId="35BC31A6" w:rsidR="00C47651" w:rsidRPr="00011C8D" w:rsidRDefault="00C47651" w:rsidP="00011C8D">
                      <w:pPr>
                        <w:spacing w:after="0"/>
                        <w:jc w:val="both"/>
                        <w:rPr>
                          <w:sz w:val="28"/>
                        </w:rPr>
                      </w:pPr>
                      <w:r w:rsidRPr="00A97F36">
                        <w:rPr>
                          <w:sz w:val="28"/>
                        </w:rPr>
                        <w:t xml:space="preserve">Submissions by </w:t>
                      </w:r>
                      <w:r w:rsidR="009A22CE">
                        <w:rPr>
                          <w:sz w:val="28"/>
                        </w:rPr>
                        <w:t>31</w:t>
                      </w:r>
                      <w:r w:rsidRPr="00A97F36">
                        <w:rPr>
                          <w:sz w:val="28"/>
                        </w:rPr>
                        <w:t xml:space="preserve"> </w:t>
                      </w:r>
                      <w:r w:rsidR="00A97F36" w:rsidRPr="00A97F36">
                        <w:rPr>
                          <w:sz w:val="28"/>
                        </w:rPr>
                        <w:t xml:space="preserve">March </w:t>
                      </w:r>
                      <w:r w:rsidRPr="00A97F36">
                        <w:rPr>
                          <w:sz w:val="28"/>
                        </w:rPr>
                        <w:t>202</w:t>
                      </w:r>
                      <w:r w:rsidR="00A97F36" w:rsidRPr="00A97F36">
                        <w:rPr>
                          <w:sz w:val="28"/>
                        </w:rPr>
                        <w:t>2</w:t>
                      </w:r>
                    </w:p>
                  </w:txbxContent>
                </v:textbox>
                <w10:wrap type="square" anchorx="margin"/>
              </v:shape>
            </w:pict>
          </mc:Fallback>
        </mc:AlternateContent>
      </w:r>
      <w:r w:rsidR="00E155A8" w:rsidRPr="00292409">
        <w:rPr>
          <w:noProof/>
          <w:lang w:eastAsia="en-GB"/>
        </w:rPr>
        <mc:AlternateContent>
          <mc:Choice Requires="wps">
            <w:drawing>
              <wp:anchor distT="45720" distB="45720" distL="114300" distR="114300" simplePos="0" relativeHeight="251661312" behindDoc="1" locked="0" layoutInCell="1" allowOverlap="1" wp14:anchorId="01EFFD6A" wp14:editId="6ED975C4">
                <wp:simplePos x="0" y="0"/>
                <wp:positionH relativeFrom="page">
                  <wp:align>left</wp:align>
                </wp:positionH>
                <wp:positionV relativeFrom="paragraph">
                  <wp:posOffset>-57150</wp:posOffset>
                </wp:positionV>
                <wp:extent cx="4495800" cy="4953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495300"/>
                        </a:xfrm>
                        <a:prstGeom prst="rect">
                          <a:avLst/>
                        </a:prstGeom>
                        <a:solidFill>
                          <a:schemeClr val="bg1">
                            <a:lumMod val="85000"/>
                          </a:schemeClr>
                        </a:solidFill>
                        <a:ln w="9525">
                          <a:noFill/>
                          <a:miter lim="800000"/>
                          <a:headEnd/>
                          <a:tailEnd/>
                        </a:ln>
                      </wps:spPr>
                      <wps:txbx>
                        <w:txbxContent>
                          <w:p w14:paraId="7DC5E2A3" w14:textId="77777777" w:rsidR="00C47651" w:rsidRDefault="00C47651" w:rsidP="00E155A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EFFD6A" id="_x0000_s1027" type="#_x0000_t202" style="position:absolute;margin-left:0;margin-top:-4.5pt;width:354pt;height:39pt;z-index:-251655168;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" fillcolor="#d8d8d8 [2732]" stroked="f">
                <v:textbox>
                  <w:txbxContent>
                    <w:p w14:paraId="7DC5E2A3" w14:textId="77777777" w:rsidR="00C47651" w:rsidRDefault="00C47651" w:rsidP="00E155A8">
                      <w:pPr>
                        <w:jc w:val="center"/>
                      </w:pPr>
                    </w:p>
                  </w:txbxContent>
                </v:textbox>
                <w10:wrap anchorx="page"/>
              </v:shape>
            </w:pict>
          </mc:Fallback>
        </mc:AlternateContent>
      </w:r>
      <w:r w:rsidR="00EE2F96">
        <w:rPr>
          <w:rFonts w:ascii="Times New Roman" w:hAnsi="Times New Roman"/>
        </w:rPr>
        <w:t xml:space="preserve"> </w:t>
      </w:r>
      <w:r w:rsidR="00E155A8" w:rsidRPr="00292409">
        <w:t>Call for Tender for NGOs</w:t>
      </w:r>
    </w:p>
    <w:p w14:paraId="4CF38070" w14:textId="77777777" w:rsidR="00E155A8" w:rsidRDefault="00435F11" w:rsidP="00E155A8">
      <w:r>
        <w:rPr>
          <w:noProof/>
          <w:lang w:eastAsia="en-GB"/>
        </w:rPr>
        <mc:AlternateContent>
          <mc:Choice Requires="wps">
            <w:drawing>
              <wp:anchor distT="0" distB="0" distL="114300" distR="114300" simplePos="0" relativeHeight="251670528" behindDoc="1" locked="0" layoutInCell="1" allowOverlap="1" wp14:anchorId="2787CB21" wp14:editId="1F888330">
                <wp:simplePos x="0" y="0"/>
                <wp:positionH relativeFrom="page">
                  <wp:posOffset>31805</wp:posOffset>
                </wp:positionH>
                <wp:positionV relativeFrom="paragraph">
                  <wp:posOffset>1752269</wp:posOffset>
                </wp:positionV>
                <wp:extent cx="7489798" cy="286247"/>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9798" cy="286247"/>
                        </a:xfrm>
                        <a:prstGeom prst="rect">
                          <a:avLst/>
                        </a:prstGeom>
                        <a:solidFill>
                          <a:schemeClr val="bg1">
                            <a:lumMod val="85000"/>
                          </a:schemeClr>
                        </a:solidFill>
                        <a:ln w="9525">
                          <a:noFill/>
                          <a:miter lim="800000"/>
                          <a:headEnd/>
                          <a:tailEnd/>
                        </a:ln>
                      </wps:spPr>
                      <wps:txbx>
                        <w:txbxContent>
                          <w:p w14:paraId="7BA32B0C" w14:textId="77777777" w:rsidR="00C47651" w:rsidRPr="00F44DAD" w:rsidRDefault="00C47651" w:rsidP="00435F11">
                            <w:pPr>
                              <w:jc w:val="center"/>
                            </w:pPr>
                            <w:r w:rsidRPr="00F44DAD">
                              <w:t>THIS TENDER HAS BEEN PUT OUT WITH THE SUPPORT OF THE DAVID AND LUCILE PACKARD FOUNDATION</w:t>
                            </w:r>
                          </w:p>
                          <w:p w14:paraId="3DB75F59" w14:textId="77777777" w:rsidR="00C47651" w:rsidRDefault="00C47651" w:rsidP="00120B29">
                            <w:pPr>
                              <w:jc w:val="cente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787CB21" id="_x0000_s1028" type="#_x0000_t202" style="position:absolute;margin-left:2.5pt;margin-top:137.95pt;width:589.75pt;height:22.5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" fillcolor="#d8d8d8 [2732]" stroked="f">
                <v:textbox>
                  <w:txbxContent>
                    <w:p w14:paraId="7BA32B0C" w14:textId="77777777" w:rsidR="00C47651" w:rsidRPr="00F44DAD" w:rsidRDefault="00C47651" w:rsidP="00435F11">
                      <w:pPr>
                        <w:jc w:val="center"/>
                      </w:pPr>
                      <w:r w:rsidRPr="00F44DAD">
                        <w:t>THIS TENDER HAS BEEN PUT OUT WITH THE SUPPORT OF THE DAVID AND LUCILE PACKARD FOUNDATION</w:t>
                      </w:r>
                    </w:p>
                    <w:p w14:paraId="3DB75F59" w14:textId="77777777" w:rsidR="00C47651" w:rsidRDefault="00C47651" w:rsidP="00120B29">
                      <w:pPr>
                        <w:jc w:val="center"/>
                      </w:pPr>
                    </w:p>
                  </w:txbxContent>
                </v:textbox>
                <w10:wrap anchorx="page"/>
              </v:shape>
            </w:pict>
          </mc:Fallback>
        </mc:AlternateContent>
      </w:r>
    </w:p>
    <w:p w14:paraId="349327FF" w14:textId="77777777" w:rsidR="00435F11" w:rsidRDefault="00435F11" w:rsidP="00011C8D">
      <w:pPr>
        <w:pStyle w:val="NoSpacing"/>
        <w:jc w:val="both"/>
        <w:rPr>
          <w:lang w:val="en-GB"/>
        </w:rPr>
      </w:pPr>
    </w:p>
    <w:p w14:paraId="0C723D47" w14:textId="2CC8D94C" w:rsidR="000C1E74" w:rsidRDefault="00011C8D" w:rsidP="004A5F0D">
      <w:pPr>
        <w:jc w:val="both"/>
      </w:pPr>
      <w:proofErr w:type="spellStart"/>
      <w:r>
        <w:t>Stichting</w:t>
      </w:r>
      <w:proofErr w:type="spellEnd"/>
      <w:r>
        <w:t xml:space="preserve"> </w:t>
      </w:r>
      <w:proofErr w:type="spellStart"/>
      <w:r>
        <w:t>BirdLife</w:t>
      </w:r>
      <w:proofErr w:type="spellEnd"/>
      <w:r>
        <w:t xml:space="preserve"> Europe (BLE) are looking for relevant environmental NGOs that want to perform research, investigative work</w:t>
      </w:r>
      <w:r w:rsidR="005F6B8B">
        <w:t>, communications</w:t>
      </w:r>
      <w:r>
        <w:t xml:space="preserve"> </w:t>
      </w:r>
      <w:r w:rsidR="00DA5668">
        <w:t>or</w:t>
      </w:r>
      <w:r>
        <w:t xml:space="preserve"> related advocacy in certain EU </w:t>
      </w:r>
      <w:r w:rsidR="00E76B37">
        <w:t>M</w:t>
      </w:r>
      <w:r>
        <w:t xml:space="preserve">ember </w:t>
      </w:r>
      <w:r w:rsidR="00E76B37">
        <w:t>St</w:t>
      </w:r>
      <w:r>
        <w:t>ates</w:t>
      </w:r>
      <w:r w:rsidR="00D61D39">
        <w:t xml:space="preserve"> </w:t>
      </w:r>
      <w:r>
        <w:t xml:space="preserve">on the impact </w:t>
      </w:r>
      <w:r w:rsidR="005F6B8B">
        <w:t xml:space="preserve">to </w:t>
      </w:r>
      <w:r>
        <w:t xml:space="preserve">the environment, </w:t>
      </w:r>
      <w:r w:rsidR="00E76B37">
        <w:t xml:space="preserve">public health </w:t>
      </w:r>
      <w:r w:rsidR="005F6B8B">
        <w:t xml:space="preserve">and climate </w:t>
      </w:r>
      <w:r>
        <w:t xml:space="preserve">change mitigation </w:t>
      </w:r>
      <w:r w:rsidR="005F6B8B">
        <w:t xml:space="preserve">from </w:t>
      </w:r>
      <w:r w:rsidR="00D61D39">
        <w:t>unsustainable practi</w:t>
      </w:r>
      <w:r w:rsidR="00D8467E">
        <w:t>c</w:t>
      </w:r>
      <w:r w:rsidR="00D61D39">
        <w:t xml:space="preserve">es </w:t>
      </w:r>
      <w:r w:rsidR="006A7ABA">
        <w:t xml:space="preserve">such </w:t>
      </w:r>
      <w:r w:rsidR="001178AB">
        <w:t xml:space="preserve">as </w:t>
      </w:r>
      <w:r w:rsidR="006A7ABA">
        <w:t>forms of bioenergy (including biofuels, biomass, biogas)</w:t>
      </w:r>
      <w:r w:rsidR="001178AB">
        <w:t>,</w:t>
      </w:r>
      <w:r w:rsidR="006A7ABA">
        <w:t xml:space="preserve"> </w:t>
      </w:r>
      <w:r w:rsidR="00A24BE0">
        <w:t>e</w:t>
      </w:r>
      <w:r w:rsidR="006A7ABA">
        <w:t xml:space="preserve">nsuring </w:t>
      </w:r>
      <w:r w:rsidR="00D61D39">
        <w:t>th</w:t>
      </w:r>
      <w:r w:rsidR="00DA5668">
        <w:t xml:space="preserve">e Renewable Energy Directive </w:t>
      </w:r>
      <w:r w:rsidR="006A7ABA">
        <w:t xml:space="preserve">and other </w:t>
      </w:r>
      <w:r w:rsidR="001178AB">
        <w:t>relevant policy effectively contribute</w:t>
      </w:r>
      <w:r w:rsidR="006A7ABA">
        <w:t xml:space="preserve"> to climate change mitigation while minimizing adverse environmental impacts in line with</w:t>
      </w:r>
      <w:r w:rsidR="00D61D39">
        <w:t xml:space="preserve"> objectives unde</w:t>
      </w:r>
      <w:r w:rsidR="006A7ABA">
        <w:t>r the European Green Deal (EGD)</w:t>
      </w:r>
      <w:r w:rsidR="00D61D39">
        <w:t xml:space="preserve">. </w:t>
      </w:r>
    </w:p>
    <w:p w14:paraId="15A585E4" w14:textId="6512781A" w:rsidR="00011C8D" w:rsidRDefault="00011C8D" w:rsidP="004A5F0D">
      <w:pPr>
        <w:jc w:val="both"/>
      </w:pPr>
      <w:r w:rsidRPr="002B36CF">
        <w:t>The call for tender is particularly intended to establish stronger capacity in European</w:t>
      </w:r>
      <w:r w:rsidR="00C711DF">
        <w:t xml:space="preserve"> Union Member States </w:t>
      </w:r>
      <w:r w:rsidRPr="002B36CF">
        <w:t xml:space="preserve">for civil society organisations dedicated to work on bioenergy policies at </w:t>
      </w:r>
      <w:r w:rsidR="00C00288">
        <w:t xml:space="preserve">EU and </w:t>
      </w:r>
      <w:r w:rsidRPr="002B36CF">
        <w:t xml:space="preserve">national level. Support for this work aims to increase the knowledge and awareness of the impact </w:t>
      </w:r>
      <w:r w:rsidR="00D61D39" w:rsidRPr="002B36CF">
        <w:t xml:space="preserve">that </w:t>
      </w:r>
      <w:r w:rsidRPr="002B36CF">
        <w:t xml:space="preserve">EU </w:t>
      </w:r>
      <w:r w:rsidR="00D61D39" w:rsidRPr="002B36CF">
        <w:t xml:space="preserve">and Member State </w:t>
      </w:r>
      <w:r w:rsidRPr="002B36CF">
        <w:t>policies</w:t>
      </w:r>
      <w:r w:rsidR="00D61D39" w:rsidRPr="002B36CF">
        <w:t>,</w:t>
      </w:r>
      <w:r w:rsidRPr="002B36CF">
        <w:t xml:space="preserve"> and resulting land management practi</w:t>
      </w:r>
      <w:r w:rsidR="00D8467E">
        <w:t>c</w:t>
      </w:r>
      <w:r w:rsidRPr="002B36CF">
        <w:t>es</w:t>
      </w:r>
      <w:r w:rsidR="00D61D39" w:rsidRPr="002B36CF">
        <w:t>,</w:t>
      </w:r>
      <w:r w:rsidRPr="002B36CF">
        <w:t xml:space="preserve"> have on climate and the environment. This information is intended to contribute to sustainability discussions for implementation of </w:t>
      </w:r>
      <w:r w:rsidR="00D61D39" w:rsidRPr="002B36CF">
        <w:t>renewable energy policy and climate mitigation strategies</w:t>
      </w:r>
      <w:r w:rsidRPr="002B36CF">
        <w:t xml:space="preserve"> and </w:t>
      </w:r>
      <w:r w:rsidR="00D61D39" w:rsidRPr="002B36CF">
        <w:t xml:space="preserve">communicated to national decision makers and </w:t>
      </w:r>
      <w:r w:rsidRPr="002B36CF">
        <w:t>the European Commission</w:t>
      </w:r>
      <w:r w:rsidR="00D61D39" w:rsidRPr="002B36CF">
        <w:t>.</w:t>
      </w:r>
    </w:p>
    <w:p w14:paraId="0A0E3F0B" w14:textId="77777777" w:rsidR="009450F6" w:rsidRPr="002B36CF" w:rsidRDefault="009450F6" w:rsidP="004A5F0D">
      <w:pPr>
        <w:jc w:val="both"/>
      </w:pPr>
      <w:r>
        <w:t>Specifics of the call for tender:</w:t>
      </w:r>
    </w:p>
    <w:p w14:paraId="5F9539D9" w14:textId="77777777" w:rsidR="009450F6" w:rsidRDefault="009450F6" w:rsidP="009450F6">
      <w:pPr>
        <w:pStyle w:val="NoSpacing"/>
        <w:numPr>
          <w:ilvl w:val="0"/>
          <w:numId w:val="10"/>
        </w:numPr>
        <w:spacing w:line="276" w:lineRule="auto"/>
      </w:pPr>
      <w:r>
        <w:t xml:space="preserve">This call for tender is for </w:t>
      </w:r>
      <w:r w:rsidRPr="002B36CF">
        <w:t xml:space="preserve">civil society organizations </w:t>
      </w:r>
      <w:r>
        <w:t xml:space="preserve">to apply for monetary grants to carry out work in line with the specifications in this document.  </w:t>
      </w:r>
    </w:p>
    <w:p w14:paraId="7AD92427" w14:textId="77777777" w:rsidR="00F13DC1" w:rsidRPr="009450F6" w:rsidRDefault="00F13DC1" w:rsidP="009450F6">
      <w:pPr>
        <w:pStyle w:val="NoSpacing"/>
        <w:numPr>
          <w:ilvl w:val="0"/>
          <w:numId w:val="10"/>
        </w:numPr>
        <w:spacing w:line="276" w:lineRule="auto"/>
      </w:pPr>
      <w:r w:rsidRPr="009450F6">
        <w:t>T</w:t>
      </w:r>
      <w:r w:rsidR="002B36CF" w:rsidRPr="009450F6">
        <w:t xml:space="preserve">o apply </w:t>
      </w:r>
      <w:r w:rsidR="004A5F0D" w:rsidRPr="009450F6">
        <w:t xml:space="preserve">to </w:t>
      </w:r>
      <w:r w:rsidR="002B36CF" w:rsidRPr="009450F6">
        <w:t>this</w:t>
      </w:r>
      <w:r w:rsidR="004A5F0D" w:rsidRPr="009450F6">
        <w:t xml:space="preserve"> call for</w:t>
      </w:r>
      <w:r w:rsidRPr="009450F6">
        <w:t xml:space="preserve"> tender the accompanying Strategy Proposal should be completed.</w:t>
      </w:r>
      <w:r w:rsidR="004A5F0D" w:rsidRPr="009450F6">
        <w:t xml:space="preserve"> </w:t>
      </w:r>
    </w:p>
    <w:p w14:paraId="774CE2B4" w14:textId="77777777" w:rsidR="009450F6" w:rsidRPr="006A6A1E" w:rsidRDefault="009450F6" w:rsidP="009450F6">
      <w:pPr>
        <w:pStyle w:val="NoSpacing"/>
        <w:numPr>
          <w:ilvl w:val="0"/>
          <w:numId w:val="10"/>
        </w:numPr>
        <w:spacing w:line="276" w:lineRule="auto"/>
        <w:rPr>
          <w:rFonts w:ascii="Calibri" w:hAnsi="Calibri" w:cs="Calibri"/>
          <w:lang w:val="en-GB"/>
        </w:rPr>
      </w:pPr>
      <w:r>
        <w:rPr>
          <w:rFonts w:ascii="Calibri" w:hAnsi="Calibri" w:cs="Calibri"/>
          <w:lang w:val="en-GB"/>
        </w:rPr>
        <w:t xml:space="preserve">Participants to the call are requested to submit a strategy detailing the activities that are suggested to be carried out and the needed staff capacity. Please read the requirements below carefully and bear in mind that funding </w:t>
      </w:r>
      <w:r w:rsidRPr="00C65720">
        <w:rPr>
          <w:b/>
          <w:lang w:val="en-GB"/>
        </w:rPr>
        <w:t>does not allow any direct lobbying activities</w:t>
      </w:r>
      <w:r w:rsidRPr="00C65720">
        <w:rPr>
          <w:b/>
          <w:vertAlign w:val="superscript"/>
        </w:rPr>
        <w:t>1</w:t>
      </w:r>
      <w:r>
        <w:rPr>
          <w:rFonts w:ascii="Calibri" w:hAnsi="Calibri" w:cs="Calibri"/>
          <w:lang w:val="en-GB"/>
        </w:rPr>
        <w:t>.</w:t>
      </w:r>
    </w:p>
    <w:p w14:paraId="5BA1FB04" w14:textId="1AF67070" w:rsidR="004A5F0D" w:rsidRPr="009450F6" w:rsidRDefault="004A5F0D" w:rsidP="009450F6">
      <w:pPr>
        <w:pStyle w:val="NoSpacing"/>
        <w:numPr>
          <w:ilvl w:val="0"/>
          <w:numId w:val="10"/>
        </w:numPr>
        <w:spacing w:line="276" w:lineRule="auto"/>
      </w:pPr>
      <w:r w:rsidRPr="009450F6">
        <w:t xml:space="preserve">The </w:t>
      </w:r>
      <w:r w:rsidRPr="00A97F36">
        <w:t xml:space="preserve">grant period will run </w:t>
      </w:r>
      <w:r w:rsidR="00BD0981" w:rsidRPr="00A97F36">
        <w:t xml:space="preserve">from </w:t>
      </w:r>
      <w:r w:rsidRPr="00A97F36">
        <w:t>the</w:t>
      </w:r>
      <w:r w:rsidR="00A97F36" w:rsidRPr="00A97F36">
        <w:t xml:space="preserve"> 15 April 2022 until</w:t>
      </w:r>
      <w:r w:rsidRPr="00A97F36">
        <w:t xml:space="preserve"> end of </w:t>
      </w:r>
      <w:r w:rsidR="00A97F36" w:rsidRPr="00A97F36">
        <w:t>January</w:t>
      </w:r>
      <w:r w:rsidR="00D8467E" w:rsidRPr="00A97F36">
        <w:t xml:space="preserve"> 202</w:t>
      </w:r>
      <w:r w:rsidR="00A97F36" w:rsidRPr="00A97F36">
        <w:t>3</w:t>
      </w:r>
      <w:r w:rsidR="00D8467E" w:rsidRPr="00A97F36">
        <w:t>,</w:t>
      </w:r>
      <w:r w:rsidR="00D8467E">
        <w:t xml:space="preserve"> with the possibility for renewal dependent on funding and delivery</w:t>
      </w:r>
      <w:r w:rsidRPr="009450F6">
        <w:t>.</w:t>
      </w:r>
    </w:p>
    <w:p w14:paraId="7027AA62" w14:textId="380C2469" w:rsidR="00011C8D" w:rsidRPr="009450F6" w:rsidRDefault="00011C8D" w:rsidP="009450F6">
      <w:pPr>
        <w:pStyle w:val="NoSpacing"/>
        <w:numPr>
          <w:ilvl w:val="0"/>
          <w:numId w:val="10"/>
        </w:numPr>
        <w:spacing w:line="276" w:lineRule="auto"/>
      </w:pPr>
      <w:r w:rsidRPr="009450F6">
        <w:t xml:space="preserve">An </w:t>
      </w:r>
      <w:r w:rsidRPr="00A97F36">
        <w:t xml:space="preserve">indicative budget of </w:t>
      </w:r>
      <w:r w:rsidRPr="00A97F36">
        <w:rPr>
          <w:rFonts w:ascii="Cambria Math" w:hAnsi="Cambria Math" w:cs="Gautami"/>
        </w:rPr>
        <w:t>€</w:t>
      </w:r>
      <w:r w:rsidR="002B36CF" w:rsidRPr="00A97F36">
        <w:rPr>
          <w:rFonts w:ascii="Cambria Math" w:hAnsi="Cambria Math" w:cs="Gautami"/>
        </w:rPr>
        <w:t xml:space="preserve"> </w:t>
      </w:r>
      <w:r w:rsidRPr="00A97F36">
        <w:t>1</w:t>
      </w:r>
      <w:r w:rsidR="00BD0981" w:rsidRPr="00A97F36">
        <w:t>2</w:t>
      </w:r>
      <w:r w:rsidR="002B36CF" w:rsidRPr="00A97F36">
        <w:t xml:space="preserve"> – 1</w:t>
      </w:r>
      <w:r w:rsidR="00D8467E" w:rsidRPr="00A97F36">
        <w:t>5</w:t>
      </w:r>
      <w:r w:rsidR="002B36CF" w:rsidRPr="00A97F36">
        <w:t>,</w:t>
      </w:r>
      <w:r w:rsidRPr="00A97F36">
        <w:t>000 is recommended.</w:t>
      </w:r>
      <w:r w:rsidRPr="009450F6">
        <w:t xml:space="preserve"> </w:t>
      </w:r>
    </w:p>
    <w:p w14:paraId="3CC05AF4" w14:textId="77777777" w:rsidR="004A5F0D" w:rsidRPr="009450F6" w:rsidRDefault="004A5F0D" w:rsidP="009450F6">
      <w:pPr>
        <w:pStyle w:val="NoSpacing"/>
        <w:numPr>
          <w:ilvl w:val="0"/>
          <w:numId w:val="10"/>
        </w:numPr>
        <w:spacing w:line="276" w:lineRule="auto"/>
      </w:pPr>
      <w:r w:rsidRPr="009450F6">
        <w:t xml:space="preserve">Applicants need to have a legal entity to handle administration and financial aspects of the grant. </w:t>
      </w:r>
    </w:p>
    <w:p w14:paraId="3A6E051A" w14:textId="57C22BAB" w:rsidR="009450F6" w:rsidRPr="009450F6" w:rsidRDefault="009450F6" w:rsidP="009450F6">
      <w:pPr>
        <w:pStyle w:val="NoSpacing"/>
        <w:numPr>
          <w:ilvl w:val="0"/>
          <w:numId w:val="10"/>
        </w:numPr>
        <w:spacing w:line="276" w:lineRule="auto"/>
      </w:pPr>
      <w:r w:rsidRPr="009450F6">
        <w:t xml:space="preserve">Joint applications for </w:t>
      </w:r>
      <w:r>
        <w:t xml:space="preserve">multiple </w:t>
      </w:r>
      <w:r w:rsidRPr="009450F6">
        <w:t xml:space="preserve">NGOs to work on a shared campaign are welcome, but one of the applying </w:t>
      </w:r>
      <w:r w:rsidR="001178AB" w:rsidRPr="009450F6">
        <w:t>organizations</w:t>
      </w:r>
      <w:r w:rsidRPr="009450F6">
        <w:t xml:space="preserve"> needs to be nominated to handle the </w:t>
      </w:r>
      <w:r w:rsidR="001178AB">
        <w:t xml:space="preserve">administrative </w:t>
      </w:r>
      <w:r w:rsidRPr="009450F6">
        <w:t xml:space="preserve">requirements and receive instalments of the grant.   </w:t>
      </w:r>
    </w:p>
    <w:p w14:paraId="29C694B5" w14:textId="77777777" w:rsidR="009450F6" w:rsidRPr="009450F6" w:rsidRDefault="004A5F0D" w:rsidP="009450F6">
      <w:pPr>
        <w:pStyle w:val="NoSpacing"/>
        <w:numPr>
          <w:ilvl w:val="0"/>
          <w:numId w:val="10"/>
        </w:numPr>
        <w:spacing w:line="276" w:lineRule="auto"/>
      </w:pPr>
      <w:r w:rsidRPr="009450F6">
        <w:t>Applications should be in line with the aims</w:t>
      </w:r>
      <w:r w:rsidR="009450F6" w:rsidRPr="009450F6">
        <w:t>, and take into account the practicalities,</w:t>
      </w:r>
      <w:r w:rsidRPr="009450F6">
        <w:t xml:space="preserve"> outlined in this document. </w:t>
      </w:r>
    </w:p>
    <w:p w14:paraId="41B1CD0D" w14:textId="77777777" w:rsidR="00F41778" w:rsidRDefault="00F41778" w:rsidP="00444CA2">
      <w:pPr>
        <w:jc w:val="both"/>
      </w:pPr>
    </w:p>
    <w:p w14:paraId="55FF4CEF" w14:textId="7A896B61" w:rsidR="00F41778" w:rsidRDefault="001F78A8" w:rsidP="00F41778">
      <w:pPr>
        <w:jc w:val="both"/>
      </w:pPr>
      <w:r>
        <w:rPr>
          <w:noProof/>
          <w:lang w:eastAsia="en-GB"/>
        </w:rPr>
        <mc:AlternateContent>
          <mc:Choice Requires="wps">
            <w:drawing>
              <wp:anchor distT="45720" distB="45720" distL="114300" distR="114300" simplePos="0" relativeHeight="251672576" behindDoc="0" locked="0" layoutInCell="1" allowOverlap="1" wp14:anchorId="531D85E1" wp14:editId="2EA5E07B">
                <wp:simplePos x="0" y="0"/>
                <wp:positionH relativeFrom="page">
                  <wp:align>left</wp:align>
                </wp:positionH>
                <wp:positionV relativeFrom="paragraph">
                  <wp:posOffset>0</wp:posOffset>
                </wp:positionV>
                <wp:extent cx="7789545" cy="333375"/>
                <wp:effectExtent l="0" t="0" r="1905" b="9525"/>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9545" cy="333375"/>
                        </a:xfrm>
                        <a:prstGeom prst="rect">
                          <a:avLst/>
                        </a:prstGeom>
                        <a:solidFill>
                          <a:schemeClr val="bg1">
                            <a:lumMod val="85000"/>
                          </a:schemeClr>
                        </a:solidFill>
                        <a:ln w="9525">
                          <a:noFill/>
                          <a:miter lim="800000"/>
                          <a:headEnd/>
                          <a:tailEnd/>
                        </a:ln>
                      </wps:spPr>
                      <wps:txbx>
                        <w:txbxContent>
                          <w:p w14:paraId="0EDBE4C3" w14:textId="77777777" w:rsidR="00C47651" w:rsidRPr="00F44DAD" w:rsidRDefault="00C47651" w:rsidP="001F78A8">
                            <w:pPr>
                              <w:jc w:val="center"/>
                            </w:pPr>
                            <w:r>
                              <w:t>BACKGROUND</w:t>
                            </w:r>
                          </w:p>
                          <w:p w14:paraId="24E3C45D" w14:textId="77777777" w:rsidR="00C47651" w:rsidRDefault="00C47651" w:rsidP="001F78A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1D85E1" id="_x0000_s1029" type="#_x0000_t202" style="position:absolute;left:0;text-align:left;margin-left:0;margin-top:0;width:613.35pt;height:26.25pt;z-index:251672576;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" fillcolor="#d8d8d8 [2732]" stroked="f">
                <v:textbox>
                  <w:txbxContent>
                    <w:p w14:paraId="0EDBE4C3" w14:textId="77777777" w:rsidR="00C47651" w:rsidRPr="00F44DAD" w:rsidRDefault="00C47651" w:rsidP="001F78A8">
                      <w:pPr>
                        <w:jc w:val="center"/>
                      </w:pPr>
                      <w:r>
                        <w:t>BACKGROUND</w:t>
                      </w:r>
                    </w:p>
                    <w:p w14:paraId="24E3C45D" w14:textId="77777777" w:rsidR="00C47651" w:rsidRDefault="00C47651" w:rsidP="001F78A8">
                      <w:pPr>
                        <w:jc w:val="center"/>
                      </w:pPr>
                    </w:p>
                  </w:txbxContent>
                </v:textbox>
                <w10:wrap type="topAndBottom" anchorx="page"/>
              </v:shape>
            </w:pict>
          </mc:Fallback>
        </mc:AlternateContent>
      </w:r>
      <w:r>
        <w:t>I</w:t>
      </w:r>
      <w:r w:rsidR="00F41778">
        <w:t xml:space="preserve">n 2021-2023 the European Green Deal presents an opportunity to re-open the RED and introduce meaningful safeguards and limits on bioenergy.  </w:t>
      </w:r>
    </w:p>
    <w:p w14:paraId="52378F76" w14:textId="770A7417" w:rsidR="00F41778" w:rsidRDefault="00F41778" w:rsidP="00F41778">
      <w:pPr>
        <w:jc w:val="both"/>
      </w:pPr>
      <w:r>
        <w:t xml:space="preserve">The European Green Deal is the EU’s far-reaching and extensive roadmap for making its economy sustainable. It encompasses multiple initiatives to realise this overarching aim, a number of which have direct relevance for bioenergy; in particular the Emissions Trading System Directive; the Land Use, Land Use Change and Forestry Regulation; and the Biodiversity Strategy. </w:t>
      </w:r>
    </w:p>
    <w:p w14:paraId="38877FE8" w14:textId="77777777" w:rsidR="00F41778" w:rsidRDefault="00F41778" w:rsidP="00F41778">
      <w:pPr>
        <w:jc w:val="both"/>
      </w:pPr>
      <w:r>
        <w:t>Of particular importance, is the review of the Renewable Energy Directive (REDIII). The review presents an opportunity to re-open the legislation and to either remove eligibility for bioenergy altogether or introduce new and meaningful limits and safeguards on the use of bioenergy counted towards national and European renewable energy targets. Removal or more stringent limits to bioenergy are particularly critical at this stage because an increase in renewable energy targets in the RED - without additional limits and safeguards - could lead to even more wood being burned for energy resulting in subsequent damage, such as land use intensification, forest degradation, indirect land use changes and an increase in net GHG emissions.</w:t>
      </w:r>
    </w:p>
    <w:p w14:paraId="26549012" w14:textId="7A977A8A" w:rsidR="007B55C1" w:rsidRDefault="00F41778" w:rsidP="00F41778">
      <w:pPr>
        <w:jc w:val="both"/>
      </w:pPr>
      <w:r>
        <w:t>The EU Commission present</w:t>
      </w:r>
      <w:r w:rsidR="00960FFB">
        <w:t>ed</w:t>
      </w:r>
      <w:r>
        <w:t xml:space="preserve"> a proposal</w:t>
      </w:r>
      <w:r w:rsidR="00960FFB">
        <w:t xml:space="preserve"> for the review of the Renewable Energy Directive</w:t>
      </w:r>
      <w:r>
        <w:t xml:space="preserve"> in </w:t>
      </w:r>
      <w:r w:rsidR="00960FFB">
        <w:t xml:space="preserve">July </w:t>
      </w:r>
      <w:r>
        <w:t xml:space="preserve">2021. </w:t>
      </w:r>
      <w:r w:rsidR="00960FFB">
        <w:t xml:space="preserve">The proposal </w:t>
      </w:r>
      <w:r w:rsidR="00A97F36">
        <w:t>is</w:t>
      </w:r>
      <w:r w:rsidR="00960FFB">
        <w:t xml:space="preserve"> now </w:t>
      </w:r>
      <w:r>
        <w:t>pass</w:t>
      </w:r>
      <w:r w:rsidR="00960FFB">
        <w:t>ing</w:t>
      </w:r>
      <w:r>
        <w:t xml:space="preserve"> through the co-decision process, in which both the European Parliament and Council can add amendments to the Commission’s proposal, which they must eventually agree on. This process could extend well in</w:t>
      </w:r>
      <w:r w:rsidR="00960FFB">
        <w:t xml:space="preserve">to </w:t>
      </w:r>
      <w:r>
        <w:t>2023</w:t>
      </w:r>
      <w:r w:rsidR="001F78A8">
        <w:t xml:space="preserve">. </w:t>
      </w:r>
    </w:p>
    <w:p w14:paraId="78CE39CF" w14:textId="474CDB68" w:rsidR="00960FFB" w:rsidRDefault="00960FFB" w:rsidP="00F41778">
      <w:pPr>
        <w:jc w:val="both"/>
      </w:pPr>
      <w:r>
        <w:t>Following the finalisation of the RED review the directive will have to be transposed into national law, providing opportunity for national groups to strive to improve the legislation at national level.</w:t>
      </w:r>
    </w:p>
    <w:p w14:paraId="2E81D9A0" w14:textId="77777777" w:rsidR="00F41778" w:rsidRDefault="00F41778" w:rsidP="00F41778">
      <w:pPr>
        <w:spacing w:after="120" w:line="240" w:lineRule="auto"/>
        <w:jc w:val="both"/>
        <w:rPr>
          <w:rFonts w:ascii="Calibri" w:eastAsia="Calibri" w:hAnsi="Calibri" w:cs="Calibri"/>
        </w:rPr>
      </w:pPr>
      <w:r w:rsidRPr="32705FD2">
        <w:rPr>
          <w:rFonts w:eastAsia="Calibri" w:cs="Calibri"/>
        </w:rPr>
        <w:t>W</w:t>
      </w:r>
      <w:r w:rsidRPr="00C765F2">
        <w:rPr>
          <w:rFonts w:ascii="Calibri" w:eastAsia="Calibri" w:hAnsi="Calibri" w:cs="Calibri"/>
        </w:rPr>
        <w:t>ithin the wider context of the European Green Deal, there is a need and an opportunity to recognise and promote the achievement of these climate ambitions through higher energy-efficiency, lower energy consumption, avoided deforestation and protection of carbon sinks and stocks alongside the rapid but appropriate development of renewable energy to displace polluting fossil energy</w:t>
      </w:r>
      <w:r>
        <w:rPr>
          <w:rFonts w:ascii="Calibri" w:eastAsia="Calibri" w:hAnsi="Calibri" w:cs="Calibri"/>
        </w:rPr>
        <w:t>.</w:t>
      </w:r>
    </w:p>
    <w:p w14:paraId="1E57D3BC" w14:textId="77777777" w:rsidR="00011C8D" w:rsidRDefault="00011C8D" w:rsidP="00011C8D">
      <w:r>
        <w:rPr>
          <w:noProof/>
          <w:lang w:eastAsia="en-GB"/>
        </w:rPr>
        <mc:AlternateContent>
          <mc:Choice Requires="wps">
            <w:drawing>
              <wp:anchor distT="45720" distB="45720" distL="114300" distR="114300" simplePos="0" relativeHeight="251669504" behindDoc="0" locked="0" layoutInCell="1" allowOverlap="1" wp14:anchorId="2C1182D1" wp14:editId="36D44732">
                <wp:simplePos x="0" y="0"/>
                <wp:positionH relativeFrom="page">
                  <wp:align>left</wp:align>
                </wp:positionH>
                <wp:positionV relativeFrom="paragraph">
                  <wp:posOffset>257166</wp:posOffset>
                </wp:positionV>
                <wp:extent cx="7789926" cy="333375"/>
                <wp:effectExtent l="0" t="0" r="1905" b="9525"/>
                <wp:wrapTopAndBottom/>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9926" cy="333375"/>
                        </a:xfrm>
                        <a:prstGeom prst="rect">
                          <a:avLst/>
                        </a:prstGeom>
                        <a:solidFill>
                          <a:schemeClr val="bg1">
                            <a:lumMod val="85000"/>
                          </a:schemeClr>
                        </a:solidFill>
                        <a:ln w="9525">
                          <a:noFill/>
                          <a:miter lim="800000"/>
                          <a:headEnd/>
                          <a:tailEnd/>
                        </a:ln>
                      </wps:spPr>
                      <wps:txbx>
                        <w:txbxContent>
                          <w:p w14:paraId="53109904" w14:textId="77777777" w:rsidR="00C47651" w:rsidRPr="00F44DAD" w:rsidRDefault="00C47651" w:rsidP="00011C8D">
                            <w:pPr>
                              <w:jc w:val="center"/>
                            </w:pPr>
                            <w:r>
                              <w:t>SPECIFIC FOCUS OF THIS CALL FOR TENDER</w:t>
                            </w:r>
                          </w:p>
                          <w:p w14:paraId="3ECB085E" w14:textId="77777777" w:rsidR="00C47651" w:rsidRDefault="00C47651" w:rsidP="00011C8D">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1182D1" id="_x0000_s1030" type="#_x0000_t202" style="position:absolute;margin-left:0;margin-top:20.25pt;width:613.4pt;height:26.25pt;z-index:251669504;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" fillcolor="#d8d8d8 [2732]" stroked="f">
                <v:textbox>
                  <w:txbxContent>
                    <w:p w14:paraId="53109904" w14:textId="77777777" w:rsidR="00C47651" w:rsidRPr="00F44DAD" w:rsidRDefault="00C47651" w:rsidP="00011C8D">
                      <w:pPr>
                        <w:jc w:val="center"/>
                      </w:pPr>
                      <w:r>
                        <w:t>SPECIFIC FOCUS OF THIS CALL FOR TENDER</w:t>
                      </w:r>
                    </w:p>
                    <w:p w14:paraId="3ECB085E" w14:textId="77777777" w:rsidR="00C47651" w:rsidRDefault="00C47651" w:rsidP="00011C8D">
                      <w:pPr>
                        <w:jc w:val="center"/>
                      </w:pPr>
                    </w:p>
                  </w:txbxContent>
                </v:textbox>
                <w10:wrap type="topAndBottom" anchorx="page"/>
              </v:shape>
            </w:pict>
          </mc:Fallback>
        </mc:AlternateContent>
      </w:r>
    </w:p>
    <w:p w14:paraId="03AA8894" w14:textId="50424B8A" w:rsidR="00B35BE9" w:rsidRPr="00B6700E" w:rsidRDefault="006A4A4B" w:rsidP="00B6700E">
      <w:pPr>
        <w:jc w:val="both"/>
      </w:pPr>
      <w:r>
        <w:t>An</w:t>
      </w:r>
      <w:r w:rsidR="00011C8D">
        <w:t xml:space="preserve"> aim o</w:t>
      </w:r>
      <w:r w:rsidR="00E11592">
        <w:t xml:space="preserve">f this tender is to identify </w:t>
      </w:r>
      <w:r w:rsidR="00011C8D">
        <w:t>links</w:t>
      </w:r>
      <w:r w:rsidR="00E11592">
        <w:t xml:space="preserve"> b</w:t>
      </w:r>
      <w:r w:rsidR="00011C8D">
        <w:t>etween bioenergy policy, land and resource management</w:t>
      </w:r>
      <w:r w:rsidR="00E11592">
        <w:t xml:space="preserve">, trade and energy production, and </w:t>
      </w:r>
      <w:r w:rsidR="00011C8D">
        <w:t>impact</w:t>
      </w:r>
      <w:r w:rsidR="00E11592">
        <w:t>s</w:t>
      </w:r>
      <w:r w:rsidR="00011C8D">
        <w:t xml:space="preserve"> on the environment, biodiversity or climate mitigation. Studies and findings </w:t>
      </w:r>
      <w:r w:rsidR="00B35BE9">
        <w:t>should be used</w:t>
      </w:r>
      <w:r w:rsidR="00011C8D">
        <w:t xml:space="preserve"> inform </w:t>
      </w:r>
      <w:r w:rsidR="00B35BE9">
        <w:t>the public and decision makers</w:t>
      </w:r>
      <w:r w:rsidR="00011C8D">
        <w:t xml:space="preserve"> at national</w:t>
      </w:r>
      <w:r w:rsidR="00B35BE9">
        <w:t xml:space="preserve"> level, and work with BLE to provide input towards potential review of policy at</w:t>
      </w:r>
      <w:r w:rsidR="00011C8D">
        <w:t xml:space="preserve"> European level. </w:t>
      </w:r>
    </w:p>
    <w:p w14:paraId="14113C4E" w14:textId="203FDEF5" w:rsidR="00E76B37" w:rsidRPr="00B35BE9" w:rsidRDefault="00E76B37" w:rsidP="00B35BE9">
      <w:r w:rsidRPr="00B35BE9">
        <w:t xml:space="preserve">Potential </w:t>
      </w:r>
      <w:r w:rsidR="00AA1B8C">
        <w:t xml:space="preserve">areas </w:t>
      </w:r>
      <w:r w:rsidRPr="00B35BE9">
        <w:t xml:space="preserve">NGO tenders could </w:t>
      </w:r>
      <w:r w:rsidR="00AA1B8C">
        <w:t>focus on</w:t>
      </w:r>
      <w:r w:rsidRPr="00B35BE9">
        <w:t>:</w:t>
      </w:r>
    </w:p>
    <w:p w14:paraId="66B40981" w14:textId="77777777" w:rsidR="00F41778" w:rsidRDefault="00F41778" w:rsidP="00F41778">
      <w:pPr>
        <w:pStyle w:val="ListParagraph"/>
        <w:numPr>
          <w:ilvl w:val="0"/>
          <w:numId w:val="14"/>
        </w:numPr>
      </w:pPr>
      <w:r>
        <w:t xml:space="preserve">Pushing for key </w:t>
      </w:r>
      <w:r w:rsidRPr="00F41778">
        <w:t xml:space="preserve">EU policies (such as the Renewable Energy Directive, EU ETS &amp; EU Green Finance Taxonomy) </w:t>
      </w:r>
      <w:r>
        <w:t>to be</w:t>
      </w:r>
      <w:r w:rsidRPr="00F41778">
        <w:t xml:space="preserve"> revised to put limits on the use of bioenergy, fully account for its GHG emissions and reduce incentives for its use</w:t>
      </w:r>
      <w:r>
        <w:t>.</w:t>
      </w:r>
    </w:p>
    <w:p w14:paraId="49069549" w14:textId="6019B312" w:rsidR="00F41778" w:rsidRDefault="00F41778" w:rsidP="00F41778">
      <w:pPr>
        <w:pStyle w:val="ListParagraph"/>
        <w:numPr>
          <w:ilvl w:val="0"/>
          <w:numId w:val="14"/>
        </w:numPr>
      </w:pPr>
      <w:r w:rsidRPr="00F41778">
        <w:rPr>
          <w:rFonts w:ascii="Calibri" w:hAnsi="Calibri" w:cs="Calibri"/>
        </w:rPr>
        <w:t>Inform key stakeholders in EU and Member States of the implications of policy options with regards to the review of the RED and other key polices.</w:t>
      </w:r>
    </w:p>
    <w:p w14:paraId="52401CB5" w14:textId="31A00616" w:rsidR="00E76B37" w:rsidRDefault="00F5400E" w:rsidP="00B35BE9">
      <w:pPr>
        <w:pStyle w:val="ListParagraph"/>
        <w:numPr>
          <w:ilvl w:val="0"/>
          <w:numId w:val="14"/>
        </w:numPr>
      </w:pPr>
      <w:r w:rsidRPr="00B35BE9">
        <w:lastRenderedPageBreak/>
        <w:t>G</w:t>
      </w:r>
      <w:r w:rsidR="00E76B37" w:rsidRPr="00B35BE9">
        <w:t>ather</w:t>
      </w:r>
      <w:r w:rsidRPr="00B35BE9">
        <w:t xml:space="preserve"> </w:t>
      </w:r>
      <w:r w:rsidR="00E76B37" w:rsidRPr="00B35BE9">
        <w:t>evidence and material for further concrete case studies on the environmental</w:t>
      </w:r>
      <w:r w:rsidR="00E11592">
        <w:t>, climate</w:t>
      </w:r>
      <w:r w:rsidR="00E76B37" w:rsidRPr="00B35BE9">
        <w:t xml:space="preserve"> </w:t>
      </w:r>
      <w:r w:rsidR="00E11592">
        <w:t xml:space="preserve">or societal </w:t>
      </w:r>
      <w:r w:rsidR="00E76B37" w:rsidRPr="00B35BE9">
        <w:t>impacts of</w:t>
      </w:r>
      <w:r w:rsidRPr="00B35BE9">
        <w:t xml:space="preserve"> </w:t>
      </w:r>
      <w:r w:rsidR="00E76B37" w:rsidRPr="00B35BE9">
        <w:t>bioenergy and provide media and decision makers with country specific, targeted information.</w:t>
      </w:r>
    </w:p>
    <w:p w14:paraId="5F7317AB" w14:textId="126D84D3" w:rsidR="00B35BE9" w:rsidRDefault="00E11592" w:rsidP="00B35BE9">
      <w:pPr>
        <w:pStyle w:val="ListParagraph"/>
        <w:numPr>
          <w:ilvl w:val="0"/>
          <w:numId w:val="14"/>
        </w:numPr>
      </w:pPr>
      <w:r>
        <w:t xml:space="preserve">Investigations or </w:t>
      </w:r>
      <w:r w:rsidR="00B35BE9">
        <w:t xml:space="preserve">studies </w:t>
      </w:r>
      <w:r w:rsidR="00AA1B8C">
        <w:t>into ecosystem h</w:t>
      </w:r>
      <w:r>
        <w:t xml:space="preserve">arming implementation </w:t>
      </w:r>
      <w:r w:rsidR="00D8467E">
        <w:t>practices</w:t>
      </w:r>
      <w:r>
        <w:t>;</w:t>
      </w:r>
      <w:r w:rsidR="00AA1B8C">
        <w:t xml:space="preserve"> trade w</w:t>
      </w:r>
      <w:r>
        <w:t xml:space="preserve">hich is pushing these </w:t>
      </w:r>
      <w:r w:rsidR="00D8467E">
        <w:t>practices</w:t>
      </w:r>
      <w:r>
        <w:t>;</w:t>
      </w:r>
      <w:r w:rsidR="00DA5563">
        <w:t xml:space="preserve"> or</w:t>
      </w:r>
      <w:r w:rsidR="00AA1B8C">
        <w:t xml:space="preserve"> the impacts of processing plants and energy producers on the environment, health or climate. </w:t>
      </w:r>
    </w:p>
    <w:p w14:paraId="0A1400BC" w14:textId="181AC670" w:rsidR="00AA1B8C" w:rsidRDefault="00AA1B8C" w:rsidP="00B35BE9">
      <w:pPr>
        <w:pStyle w:val="ListParagraph"/>
        <w:numPr>
          <w:ilvl w:val="0"/>
          <w:numId w:val="14"/>
        </w:numPr>
      </w:pPr>
      <w:r>
        <w:t>Solutions for moving away from, or improving</w:t>
      </w:r>
      <w:r w:rsidR="00D8467E">
        <w:t>,</w:t>
      </w:r>
      <w:r>
        <w:t xml:space="preserve"> unsustainable bioenergy </w:t>
      </w:r>
      <w:r w:rsidR="00D8467E">
        <w:t>practices</w:t>
      </w:r>
      <w:r>
        <w:t xml:space="preserve">. </w:t>
      </w:r>
    </w:p>
    <w:p w14:paraId="6EEAF88F" w14:textId="54E3C84A" w:rsidR="00AA1B8C" w:rsidRDefault="00AA1B8C" w:rsidP="00B35BE9">
      <w:r>
        <w:t xml:space="preserve">Potential </w:t>
      </w:r>
      <w:r w:rsidRPr="00B35BE9">
        <w:t>work and activities</w:t>
      </w:r>
      <w:r>
        <w:t xml:space="preserve"> NGO tenders could include:</w:t>
      </w:r>
    </w:p>
    <w:p w14:paraId="009A1CC1" w14:textId="61EDDE0F" w:rsidR="00F5400E" w:rsidRPr="00B35BE9" w:rsidRDefault="00E76B37" w:rsidP="00B35BE9">
      <w:pPr>
        <w:pStyle w:val="ListParagraph"/>
        <w:numPr>
          <w:ilvl w:val="0"/>
          <w:numId w:val="14"/>
        </w:numPr>
      </w:pPr>
      <w:r w:rsidRPr="00B35BE9">
        <w:t>Outreach to decision makers and media (e.g. press briefings) to disseminate new research and</w:t>
      </w:r>
      <w:r w:rsidR="00F5400E" w:rsidRPr="00B35BE9">
        <w:t xml:space="preserve"> </w:t>
      </w:r>
      <w:r w:rsidRPr="00B35BE9">
        <w:t>knowledge</w:t>
      </w:r>
      <w:r w:rsidR="00E11592">
        <w:t xml:space="preserve">, but a reminder this </w:t>
      </w:r>
      <w:r w:rsidR="00E11592" w:rsidRPr="00E11592">
        <w:rPr>
          <w:b/>
        </w:rPr>
        <w:t>cannot include</w:t>
      </w:r>
      <w:r w:rsidR="00E11592" w:rsidRPr="00C65720">
        <w:rPr>
          <w:b/>
        </w:rPr>
        <w:t xml:space="preserve"> any direct lobbying activities</w:t>
      </w:r>
      <w:r w:rsidR="00E11592">
        <w:rPr>
          <w:b/>
          <w:vertAlign w:val="superscript"/>
        </w:rPr>
        <w:t xml:space="preserve"> </w:t>
      </w:r>
      <w:r w:rsidR="00E11592">
        <w:t xml:space="preserve">as per </w:t>
      </w:r>
      <w:r w:rsidR="00E11592" w:rsidRPr="00E11592">
        <w:rPr>
          <w:b/>
        </w:rPr>
        <w:t>Annex 1.</w:t>
      </w:r>
    </w:p>
    <w:p w14:paraId="334DD927" w14:textId="772B9539" w:rsidR="00E76B37" w:rsidRPr="00B35BE9" w:rsidRDefault="00E76B37" w:rsidP="00B35BE9">
      <w:pPr>
        <w:pStyle w:val="ListParagraph"/>
        <w:numPr>
          <w:ilvl w:val="0"/>
          <w:numId w:val="14"/>
        </w:numPr>
      </w:pPr>
      <w:r w:rsidRPr="00B35BE9">
        <w:t>Organize events and / or workshops on national level to</w:t>
      </w:r>
      <w:r w:rsidR="00F5400E" w:rsidRPr="00B35BE9">
        <w:t xml:space="preserve"> </w:t>
      </w:r>
      <w:r w:rsidRPr="00B35BE9">
        <w:t>promote NGO views on bioenergy</w:t>
      </w:r>
      <w:r w:rsidR="00AA1B8C">
        <w:t>.</w:t>
      </w:r>
    </w:p>
    <w:p w14:paraId="4C907A1F" w14:textId="77777777" w:rsidR="00E76B37" w:rsidRPr="00B35BE9" w:rsidRDefault="00E76B37" w:rsidP="00B35BE9">
      <w:pPr>
        <w:pStyle w:val="ListParagraph"/>
        <w:numPr>
          <w:ilvl w:val="0"/>
          <w:numId w:val="14"/>
        </w:numPr>
      </w:pPr>
      <w:r w:rsidRPr="00B35BE9">
        <w:t>National and trans-national coalition building.</w:t>
      </w:r>
    </w:p>
    <w:p w14:paraId="5DA9CB24" w14:textId="090FEEAA" w:rsidR="00E76B37" w:rsidRPr="00B35BE9" w:rsidRDefault="00E76B37" w:rsidP="00B35BE9">
      <w:pPr>
        <w:pStyle w:val="ListParagraph"/>
        <w:numPr>
          <w:ilvl w:val="0"/>
          <w:numId w:val="14"/>
        </w:numPr>
      </w:pPr>
      <w:r w:rsidRPr="00B35BE9">
        <w:t>Support capacity building and understanding of the r</w:t>
      </w:r>
      <w:r w:rsidR="00DA5563">
        <w:t>ole of EU policies on climate and the environment.</w:t>
      </w:r>
    </w:p>
    <w:p w14:paraId="55E31E5C" w14:textId="0E27F66D" w:rsidR="00E76B37" w:rsidRPr="00B35BE9" w:rsidRDefault="00AA1B8C" w:rsidP="00B35BE9">
      <w:pPr>
        <w:pStyle w:val="ListParagraph"/>
        <w:numPr>
          <w:ilvl w:val="0"/>
          <w:numId w:val="14"/>
        </w:numPr>
      </w:pPr>
      <w:r>
        <w:t>E</w:t>
      </w:r>
      <w:r w:rsidR="00E76B37" w:rsidRPr="00B35BE9">
        <w:t>ngage in national policy debates and position formulation on bioenergy.</w:t>
      </w:r>
    </w:p>
    <w:p w14:paraId="05109A0C" w14:textId="005903B4" w:rsidR="00E76B37" w:rsidRPr="00B35BE9" w:rsidRDefault="00E76B37" w:rsidP="00B35BE9">
      <w:pPr>
        <w:pStyle w:val="ListParagraph"/>
        <w:numPr>
          <w:ilvl w:val="0"/>
          <w:numId w:val="14"/>
        </w:numPr>
      </w:pPr>
      <w:r w:rsidRPr="00B35BE9">
        <w:t>Take part in NGO networking meetings on bioenergy organized by BLE.</w:t>
      </w:r>
    </w:p>
    <w:p w14:paraId="3AC070FD" w14:textId="6A95803A" w:rsidR="00E76B37" w:rsidRPr="00B35BE9" w:rsidRDefault="00E76B37" w:rsidP="00AA1B8C">
      <w:pPr>
        <w:pStyle w:val="ListParagraph"/>
        <w:numPr>
          <w:ilvl w:val="0"/>
          <w:numId w:val="14"/>
        </w:numPr>
      </w:pPr>
      <w:r w:rsidRPr="00B35BE9">
        <w:t>Media work especially on key moments during the politi</w:t>
      </w:r>
      <w:r w:rsidR="00AA1B8C">
        <w:t>cal timeline when European climate and energy policy is being reviewed.</w:t>
      </w:r>
    </w:p>
    <w:p w14:paraId="48AAC60D" w14:textId="4DDF3EA9" w:rsidR="00011C8D" w:rsidRPr="00B35BE9" w:rsidRDefault="00E76B37" w:rsidP="00AA1B8C">
      <w:pPr>
        <w:pStyle w:val="ListParagraph"/>
        <w:numPr>
          <w:ilvl w:val="0"/>
          <w:numId w:val="14"/>
        </w:numPr>
      </w:pPr>
      <w:r w:rsidRPr="00B35BE9">
        <w:t>Actively engage with national policy makers to inform them of the sustainability concerns</w:t>
      </w:r>
      <w:r w:rsidR="00AA1B8C">
        <w:t xml:space="preserve"> </w:t>
      </w:r>
      <w:r w:rsidRPr="00B35BE9">
        <w:t>related to growing bioenergy use and of ways to address these concerns.</w:t>
      </w:r>
    </w:p>
    <w:p w14:paraId="5A7CC713" w14:textId="77777777" w:rsidR="00011C8D" w:rsidRDefault="00011C8D" w:rsidP="00011C8D">
      <w:r>
        <w:rPr>
          <w:noProof/>
          <w:lang w:eastAsia="en-GB"/>
        </w:rPr>
        <mc:AlternateContent>
          <mc:Choice Requires="wps">
            <w:drawing>
              <wp:anchor distT="45720" distB="45720" distL="114300" distR="114300" simplePos="0" relativeHeight="251666432" behindDoc="0" locked="0" layoutInCell="1" allowOverlap="1" wp14:anchorId="08BC16A5" wp14:editId="32BD6460">
                <wp:simplePos x="0" y="0"/>
                <wp:positionH relativeFrom="page">
                  <wp:align>left</wp:align>
                </wp:positionH>
                <wp:positionV relativeFrom="paragraph">
                  <wp:posOffset>285198</wp:posOffset>
                </wp:positionV>
                <wp:extent cx="7789926" cy="333375"/>
                <wp:effectExtent l="0" t="0" r="1905" b="9525"/>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9926" cy="333375"/>
                        </a:xfrm>
                        <a:prstGeom prst="rect">
                          <a:avLst/>
                        </a:prstGeom>
                        <a:solidFill>
                          <a:schemeClr val="bg1">
                            <a:lumMod val="85000"/>
                          </a:schemeClr>
                        </a:solidFill>
                        <a:ln w="9525">
                          <a:noFill/>
                          <a:miter lim="800000"/>
                          <a:headEnd/>
                          <a:tailEnd/>
                        </a:ln>
                      </wps:spPr>
                      <wps:txbx>
                        <w:txbxContent>
                          <w:p w14:paraId="1D98D8A7" w14:textId="77777777" w:rsidR="00C47651" w:rsidRPr="00F44DAD" w:rsidRDefault="00C47651" w:rsidP="00011C8D">
                            <w:pPr>
                              <w:jc w:val="center"/>
                            </w:pPr>
                            <w:r>
                              <w:t>PRACTICALITIES</w:t>
                            </w:r>
                          </w:p>
                          <w:p w14:paraId="0BBC4D45" w14:textId="77777777" w:rsidR="00C47651" w:rsidRDefault="00C47651" w:rsidP="00011C8D">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BC16A5" id="_x0000_s1031" type="#_x0000_t202" style="position:absolute;margin-left:0;margin-top:22.45pt;width:613.4pt;height:26.25pt;z-index:25166643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" fillcolor="#d8d8d8 [2732]" stroked="f">
                <v:textbox>
                  <w:txbxContent>
                    <w:p w14:paraId="1D98D8A7" w14:textId="77777777" w:rsidR="00C47651" w:rsidRPr="00F44DAD" w:rsidRDefault="00C47651" w:rsidP="00011C8D">
                      <w:pPr>
                        <w:jc w:val="center"/>
                      </w:pPr>
                      <w:r>
                        <w:t>PRACTICALITIES</w:t>
                      </w:r>
                    </w:p>
                    <w:p w14:paraId="0BBC4D45" w14:textId="77777777" w:rsidR="00C47651" w:rsidRDefault="00C47651" w:rsidP="00011C8D">
                      <w:pPr>
                        <w:jc w:val="center"/>
                      </w:pPr>
                    </w:p>
                  </w:txbxContent>
                </v:textbox>
                <w10:wrap type="topAndBottom" anchorx="page"/>
              </v:shape>
            </w:pict>
          </mc:Fallback>
        </mc:AlternateContent>
      </w:r>
    </w:p>
    <w:p w14:paraId="7FEE0262" w14:textId="1A58CFE4" w:rsidR="00E76B37" w:rsidRDefault="00E76B37" w:rsidP="00E76B37">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The organization needs to present BLE a strategy document and budget proposal </w:t>
      </w:r>
      <w:r w:rsidR="00F13DC1">
        <w:rPr>
          <w:rFonts w:ascii="Calibri" w:hAnsi="Calibri" w:cs="Calibri"/>
          <w:color w:val="000000"/>
        </w:rPr>
        <w:t xml:space="preserve">by filling in </w:t>
      </w:r>
      <w:r w:rsidR="00DA5563">
        <w:rPr>
          <w:rFonts w:ascii="Calibri" w:hAnsi="Calibri" w:cs="Calibri"/>
          <w:color w:val="000000"/>
        </w:rPr>
        <w:t>the</w:t>
      </w:r>
      <w:r>
        <w:rPr>
          <w:rFonts w:ascii="Calibri" w:hAnsi="Calibri" w:cs="Calibri"/>
          <w:color w:val="000000"/>
        </w:rPr>
        <w:t xml:space="preserve"> strategy template attached to this call for tender. Jo</w:t>
      </w:r>
      <w:r w:rsidR="00F13DC1">
        <w:rPr>
          <w:rFonts w:ascii="Calibri" w:hAnsi="Calibri" w:cs="Calibri"/>
          <w:color w:val="000000"/>
        </w:rPr>
        <w:t xml:space="preserve">int proposals between different NGOs are </w:t>
      </w:r>
      <w:r>
        <w:rPr>
          <w:rFonts w:ascii="Calibri" w:hAnsi="Calibri" w:cs="Calibri"/>
          <w:color w:val="000000"/>
        </w:rPr>
        <w:t>possible if responsibilities are clearly explained.</w:t>
      </w:r>
    </w:p>
    <w:p w14:paraId="68DE6BAD" w14:textId="77777777" w:rsidR="00F13DC1" w:rsidRDefault="00F13DC1" w:rsidP="00E76B37">
      <w:pPr>
        <w:autoSpaceDE w:val="0"/>
        <w:autoSpaceDN w:val="0"/>
        <w:adjustRightInd w:val="0"/>
        <w:spacing w:after="0" w:line="240" w:lineRule="auto"/>
        <w:rPr>
          <w:rFonts w:ascii="Calibri" w:hAnsi="Calibri" w:cs="Calibri"/>
          <w:color w:val="000000"/>
        </w:rPr>
      </w:pPr>
    </w:p>
    <w:p w14:paraId="12F7B961" w14:textId="31FC101B" w:rsidR="00E76B37" w:rsidRDefault="00E76B37" w:rsidP="00E76B37">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A budget of </w:t>
      </w:r>
      <w:r>
        <w:rPr>
          <w:rFonts w:ascii="Gautami" w:hAnsi="Gautami" w:cs="Gautami"/>
          <w:color w:val="000000"/>
        </w:rPr>
        <w:t>€</w:t>
      </w:r>
      <w:r w:rsidR="00AA1B8C">
        <w:rPr>
          <w:rFonts w:ascii="Calibri" w:hAnsi="Calibri" w:cs="Calibri"/>
          <w:color w:val="000000"/>
        </w:rPr>
        <w:t>1</w:t>
      </w:r>
      <w:r w:rsidR="00BD0981">
        <w:rPr>
          <w:rFonts w:ascii="Calibri" w:hAnsi="Calibri" w:cs="Calibri"/>
          <w:color w:val="000000"/>
        </w:rPr>
        <w:t>2</w:t>
      </w:r>
      <w:r w:rsidR="00AA1B8C">
        <w:rPr>
          <w:rFonts w:ascii="Calibri" w:hAnsi="Calibri" w:cs="Calibri"/>
          <w:color w:val="000000"/>
        </w:rPr>
        <w:t xml:space="preserve"> -1</w:t>
      </w:r>
      <w:r w:rsidR="00A20C3B">
        <w:rPr>
          <w:rFonts w:ascii="Calibri" w:hAnsi="Calibri" w:cs="Calibri"/>
          <w:color w:val="000000"/>
        </w:rPr>
        <w:t>5</w:t>
      </w:r>
      <w:r w:rsidR="00AA1B8C">
        <w:rPr>
          <w:rFonts w:ascii="Calibri" w:hAnsi="Calibri" w:cs="Calibri"/>
          <w:color w:val="000000"/>
        </w:rPr>
        <w:t>,</w:t>
      </w:r>
      <w:r>
        <w:rPr>
          <w:rFonts w:ascii="Calibri" w:hAnsi="Calibri" w:cs="Calibri"/>
          <w:color w:val="000000"/>
        </w:rPr>
        <w:t xml:space="preserve">000 is </w:t>
      </w:r>
      <w:r w:rsidR="00DA5563">
        <w:rPr>
          <w:rFonts w:ascii="Calibri" w:hAnsi="Calibri" w:cs="Calibri"/>
          <w:color w:val="000000"/>
        </w:rPr>
        <w:t xml:space="preserve">a </w:t>
      </w:r>
      <w:r>
        <w:rPr>
          <w:rFonts w:ascii="Calibri" w:hAnsi="Calibri" w:cs="Calibri"/>
          <w:color w:val="000000"/>
        </w:rPr>
        <w:t>recommended</w:t>
      </w:r>
      <w:r w:rsidR="00DA5563">
        <w:rPr>
          <w:rFonts w:ascii="Calibri" w:hAnsi="Calibri" w:cs="Calibri"/>
          <w:color w:val="000000"/>
        </w:rPr>
        <w:t xml:space="preserve"> guide</w:t>
      </w:r>
      <w:r>
        <w:rPr>
          <w:rFonts w:ascii="Calibri" w:hAnsi="Calibri" w:cs="Calibri"/>
          <w:color w:val="000000"/>
        </w:rPr>
        <w:t>. The proposal and the budge</w:t>
      </w:r>
      <w:r w:rsidR="00F13DC1">
        <w:rPr>
          <w:rFonts w:ascii="Calibri" w:hAnsi="Calibri" w:cs="Calibri"/>
          <w:color w:val="000000"/>
        </w:rPr>
        <w:t xml:space="preserve">t should include a full or part </w:t>
      </w:r>
      <w:r>
        <w:rPr>
          <w:rFonts w:ascii="Calibri" w:hAnsi="Calibri" w:cs="Calibri"/>
          <w:color w:val="000000"/>
        </w:rPr>
        <w:t>time member of staff that will be dedicated to carry out the work sug</w:t>
      </w:r>
      <w:r w:rsidR="00F13DC1">
        <w:rPr>
          <w:rFonts w:ascii="Calibri" w:hAnsi="Calibri" w:cs="Calibri"/>
          <w:color w:val="000000"/>
        </w:rPr>
        <w:t xml:space="preserve">gested in the proposal and that </w:t>
      </w:r>
      <w:r w:rsidR="00A24BE0">
        <w:rPr>
          <w:rFonts w:ascii="Calibri" w:hAnsi="Calibri" w:cs="Calibri"/>
          <w:color w:val="000000"/>
        </w:rPr>
        <w:t xml:space="preserve">provides a point of contact. </w:t>
      </w:r>
      <w:r>
        <w:rPr>
          <w:rFonts w:ascii="Calibri" w:hAnsi="Calibri" w:cs="Calibri"/>
          <w:color w:val="000000"/>
        </w:rPr>
        <w:t xml:space="preserve">The budget should also include necessary resources </w:t>
      </w:r>
      <w:r w:rsidR="00A24BE0">
        <w:rPr>
          <w:rFonts w:ascii="Calibri" w:hAnsi="Calibri" w:cs="Calibri"/>
          <w:color w:val="000000"/>
        </w:rPr>
        <w:t>to</w:t>
      </w:r>
      <w:r w:rsidR="00F13DC1">
        <w:rPr>
          <w:rFonts w:ascii="Calibri" w:hAnsi="Calibri" w:cs="Calibri"/>
          <w:color w:val="000000"/>
        </w:rPr>
        <w:t xml:space="preserve"> carry out the work </w:t>
      </w:r>
      <w:r>
        <w:rPr>
          <w:rFonts w:ascii="Calibri" w:hAnsi="Calibri" w:cs="Calibri"/>
          <w:color w:val="000000"/>
        </w:rPr>
        <w:t>proposed including travel and events for example.</w:t>
      </w:r>
    </w:p>
    <w:p w14:paraId="37D7BAAE" w14:textId="77777777" w:rsidR="006A4A4B" w:rsidRDefault="006A4A4B" w:rsidP="00E76B37">
      <w:pPr>
        <w:autoSpaceDE w:val="0"/>
        <w:autoSpaceDN w:val="0"/>
        <w:adjustRightInd w:val="0"/>
        <w:spacing w:after="0" w:line="240" w:lineRule="auto"/>
        <w:rPr>
          <w:rFonts w:ascii="Calibri" w:hAnsi="Calibri" w:cs="Calibri"/>
          <w:color w:val="000000"/>
        </w:rPr>
      </w:pPr>
    </w:p>
    <w:p w14:paraId="365B4626" w14:textId="622B18F1" w:rsidR="00E76B37" w:rsidRDefault="00E76B37" w:rsidP="00E76B37">
      <w:pPr>
        <w:autoSpaceDE w:val="0"/>
        <w:autoSpaceDN w:val="0"/>
        <w:adjustRightInd w:val="0"/>
        <w:spacing w:after="0" w:line="240" w:lineRule="auto"/>
        <w:rPr>
          <w:rFonts w:ascii="Calibri" w:hAnsi="Calibri" w:cs="Calibri"/>
          <w:color w:val="000000"/>
        </w:rPr>
      </w:pPr>
      <w:r>
        <w:rPr>
          <w:rFonts w:ascii="Calibri" w:hAnsi="Calibri" w:cs="Calibri"/>
          <w:color w:val="000000"/>
        </w:rPr>
        <w:t>A successful applicant shares the policy objectives mentioned in this document of BLE, is</w:t>
      </w:r>
    </w:p>
    <w:p w14:paraId="669EEB7B" w14:textId="77777777" w:rsidR="00E76B37" w:rsidRDefault="00E76B37" w:rsidP="00E76B37">
      <w:pPr>
        <w:autoSpaceDE w:val="0"/>
        <w:autoSpaceDN w:val="0"/>
        <w:adjustRightInd w:val="0"/>
        <w:spacing w:after="0" w:line="240" w:lineRule="auto"/>
        <w:rPr>
          <w:rFonts w:ascii="Calibri" w:hAnsi="Calibri" w:cs="Calibri"/>
          <w:color w:val="000000"/>
        </w:rPr>
      </w:pPr>
      <w:r>
        <w:rPr>
          <w:rFonts w:ascii="Calibri" w:hAnsi="Calibri" w:cs="Calibri"/>
          <w:color w:val="000000"/>
        </w:rPr>
        <w:t>non-profit, is located in the geographical areas identified in this proposa</w:t>
      </w:r>
      <w:r w:rsidR="00F13DC1">
        <w:rPr>
          <w:rFonts w:ascii="Calibri" w:hAnsi="Calibri" w:cs="Calibri"/>
          <w:color w:val="000000"/>
        </w:rPr>
        <w:t xml:space="preserve">l, has a proven track record in </w:t>
      </w:r>
      <w:r>
        <w:rPr>
          <w:rFonts w:ascii="Calibri" w:hAnsi="Calibri" w:cs="Calibri"/>
          <w:color w:val="000000"/>
        </w:rPr>
        <w:t>successful national level advocacy work and can provide a convincing proposal and budget that</w:t>
      </w:r>
    </w:p>
    <w:p w14:paraId="79BCB90D" w14:textId="77777777" w:rsidR="00E76B37" w:rsidRDefault="00E76B37" w:rsidP="00E76B37">
      <w:pPr>
        <w:autoSpaceDE w:val="0"/>
        <w:autoSpaceDN w:val="0"/>
        <w:adjustRightInd w:val="0"/>
        <w:spacing w:after="0" w:line="240" w:lineRule="auto"/>
        <w:rPr>
          <w:rFonts w:ascii="Calibri" w:hAnsi="Calibri" w:cs="Calibri"/>
          <w:color w:val="000000"/>
        </w:rPr>
      </w:pPr>
      <w:r>
        <w:rPr>
          <w:rFonts w:ascii="Calibri" w:hAnsi="Calibri" w:cs="Calibri"/>
          <w:color w:val="000000"/>
        </w:rPr>
        <w:t>supports the aims of this call. Please also note that the proposed activit</w:t>
      </w:r>
      <w:r w:rsidR="00F13DC1">
        <w:rPr>
          <w:rFonts w:ascii="Calibri" w:hAnsi="Calibri" w:cs="Calibri"/>
          <w:color w:val="000000"/>
        </w:rPr>
        <w:t xml:space="preserve">ies cannot include direct lobby </w:t>
      </w:r>
      <w:r>
        <w:rPr>
          <w:rFonts w:ascii="Calibri" w:hAnsi="Calibri" w:cs="Calibri"/>
          <w:color w:val="000000"/>
        </w:rPr>
        <w:t>activities as explained in the Annex 1 of this call for tender.</w:t>
      </w:r>
    </w:p>
    <w:p w14:paraId="58143317" w14:textId="77777777" w:rsidR="00F13DC1" w:rsidRDefault="00F13DC1" w:rsidP="00E76B37">
      <w:pPr>
        <w:autoSpaceDE w:val="0"/>
        <w:autoSpaceDN w:val="0"/>
        <w:adjustRightInd w:val="0"/>
        <w:spacing w:after="0" w:line="240" w:lineRule="auto"/>
        <w:rPr>
          <w:rFonts w:ascii="Calibri" w:hAnsi="Calibri" w:cs="Calibri"/>
          <w:color w:val="000000"/>
        </w:rPr>
      </w:pPr>
    </w:p>
    <w:p w14:paraId="2C5E00C6" w14:textId="41AC78E6" w:rsidR="00790FB8" w:rsidRDefault="00E76B37" w:rsidP="00A24BE0">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 xml:space="preserve">The deadline for submitting the proposal </w:t>
      </w:r>
      <w:r w:rsidRPr="00A97F36">
        <w:rPr>
          <w:rFonts w:ascii="Calibri-Bold" w:hAnsi="Calibri-Bold" w:cs="Calibri-Bold"/>
          <w:b/>
          <w:bCs/>
          <w:color w:val="000000"/>
        </w:rPr>
        <w:t xml:space="preserve">is </w:t>
      </w:r>
      <w:r w:rsidR="009A22CE">
        <w:rPr>
          <w:rFonts w:ascii="Calibri-Bold" w:hAnsi="Calibri-Bold" w:cs="Calibri-Bold"/>
          <w:b/>
          <w:bCs/>
          <w:color w:val="000000"/>
        </w:rPr>
        <w:t>31</w:t>
      </w:r>
      <w:r w:rsidR="009A22CE" w:rsidRPr="009A22CE">
        <w:rPr>
          <w:rFonts w:ascii="Calibri-Bold" w:hAnsi="Calibri-Bold" w:cs="Calibri-Bold"/>
          <w:b/>
          <w:bCs/>
          <w:color w:val="000000"/>
          <w:vertAlign w:val="superscript"/>
        </w:rPr>
        <w:t>st</w:t>
      </w:r>
      <w:r w:rsidR="009A22CE">
        <w:rPr>
          <w:rFonts w:ascii="Calibri-Bold" w:hAnsi="Calibri-Bold" w:cs="Calibri-Bold"/>
          <w:b/>
          <w:bCs/>
          <w:color w:val="000000"/>
        </w:rPr>
        <w:t xml:space="preserve"> </w:t>
      </w:r>
      <w:r w:rsidR="00A97F36" w:rsidRPr="00A97F36">
        <w:rPr>
          <w:rFonts w:ascii="Calibri-Bold" w:hAnsi="Calibri-Bold" w:cs="Calibri-Bold"/>
          <w:b/>
          <w:bCs/>
          <w:color w:val="000000"/>
        </w:rPr>
        <w:t>March</w:t>
      </w:r>
      <w:r w:rsidR="00F5400E" w:rsidRPr="00A97F36">
        <w:rPr>
          <w:rFonts w:ascii="Calibri-Bold" w:hAnsi="Calibri-Bold" w:cs="Calibri-Bold"/>
          <w:b/>
          <w:bCs/>
          <w:color w:val="000000"/>
        </w:rPr>
        <w:t xml:space="preserve"> 202</w:t>
      </w:r>
      <w:r w:rsidR="00A97F36" w:rsidRPr="00A97F36">
        <w:rPr>
          <w:rFonts w:ascii="Calibri-Bold" w:hAnsi="Calibri-Bold" w:cs="Calibri-Bold"/>
          <w:b/>
          <w:bCs/>
          <w:color w:val="000000"/>
        </w:rPr>
        <w:t>2</w:t>
      </w:r>
      <w:r w:rsidRPr="00A97F36">
        <w:rPr>
          <w:rFonts w:ascii="Calibri-Bold" w:hAnsi="Calibri-Bold" w:cs="Calibri-Bold"/>
          <w:b/>
          <w:bCs/>
          <w:color w:val="000000"/>
        </w:rPr>
        <w:t>.</w:t>
      </w:r>
      <w:r w:rsidR="00A24BE0">
        <w:rPr>
          <w:rFonts w:ascii="Calibri-Bold" w:hAnsi="Calibri-Bold" w:cs="Calibri-Bold"/>
          <w:b/>
          <w:bCs/>
          <w:color w:val="000000"/>
        </w:rPr>
        <w:t xml:space="preserve"> </w:t>
      </w:r>
    </w:p>
    <w:p w14:paraId="0567E566" w14:textId="77777777" w:rsidR="00790FB8" w:rsidRDefault="00790FB8" w:rsidP="00A24BE0">
      <w:pPr>
        <w:autoSpaceDE w:val="0"/>
        <w:autoSpaceDN w:val="0"/>
        <w:adjustRightInd w:val="0"/>
        <w:spacing w:after="0" w:line="240" w:lineRule="auto"/>
        <w:rPr>
          <w:rFonts w:ascii="Calibri-Bold" w:hAnsi="Calibri-Bold" w:cs="Calibri-Bold"/>
          <w:b/>
          <w:bCs/>
          <w:color w:val="000000"/>
        </w:rPr>
      </w:pPr>
    </w:p>
    <w:p w14:paraId="13DFF5F3" w14:textId="01D1B863" w:rsidR="00A24BE0" w:rsidRPr="00790FB8" w:rsidRDefault="00790FB8" w:rsidP="00A24BE0">
      <w:pPr>
        <w:autoSpaceDE w:val="0"/>
        <w:autoSpaceDN w:val="0"/>
        <w:adjustRightInd w:val="0"/>
        <w:spacing w:after="0" w:line="240" w:lineRule="auto"/>
        <w:rPr>
          <w:rFonts w:ascii="Calibri" w:hAnsi="Calibri" w:cs="Calibri"/>
          <w:i/>
          <w:color w:val="000000"/>
        </w:rPr>
      </w:pPr>
      <w:r w:rsidRPr="00790FB8">
        <w:rPr>
          <w:rFonts w:ascii="Calibri" w:hAnsi="Calibri" w:cs="Calibri"/>
          <w:i/>
          <w:color w:val="000000"/>
        </w:rPr>
        <w:t xml:space="preserve">Successful applicants will be notified as soon as possible, with a pre-project meeting/call to be held to discuss the scope of the projects and outcomes. </w:t>
      </w:r>
      <w:r w:rsidR="00A24BE0" w:rsidRPr="00A97F36">
        <w:rPr>
          <w:rFonts w:ascii="Calibri" w:hAnsi="Calibri" w:cs="Calibri"/>
          <w:b/>
          <w:i/>
          <w:color w:val="000000"/>
        </w:rPr>
        <w:t xml:space="preserve">The grant period will </w:t>
      </w:r>
      <w:r w:rsidRPr="00A97F36">
        <w:rPr>
          <w:rFonts w:ascii="Calibri" w:hAnsi="Calibri" w:cs="Calibri"/>
          <w:b/>
          <w:i/>
          <w:color w:val="000000"/>
        </w:rPr>
        <w:t xml:space="preserve">run until the end of </w:t>
      </w:r>
      <w:r w:rsidR="00A97F36" w:rsidRPr="00A97F36">
        <w:rPr>
          <w:rFonts w:ascii="Calibri" w:hAnsi="Calibri" w:cs="Calibri"/>
          <w:b/>
          <w:i/>
          <w:color w:val="000000"/>
        </w:rPr>
        <w:t>January</w:t>
      </w:r>
      <w:r w:rsidRPr="00A97F36">
        <w:rPr>
          <w:rFonts w:ascii="Calibri" w:hAnsi="Calibri" w:cs="Calibri"/>
          <w:b/>
          <w:i/>
          <w:color w:val="000000"/>
        </w:rPr>
        <w:t xml:space="preserve"> 202</w:t>
      </w:r>
      <w:r w:rsidR="009A22CE">
        <w:rPr>
          <w:rFonts w:ascii="Calibri" w:hAnsi="Calibri" w:cs="Calibri"/>
          <w:b/>
          <w:i/>
          <w:color w:val="000000"/>
        </w:rPr>
        <w:t>3</w:t>
      </w:r>
      <w:r w:rsidRPr="00A97F36">
        <w:rPr>
          <w:rFonts w:ascii="Calibri" w:hAnsi="Calibri" w:cs="Calibri"/>
          <w:i/>
          <w:color w:val="000000"/>
        </w:rPr>
        <w:t xml:space="preserve">, </w:t>
      </w:r>
      <w:r w:rsidR="00493700" w:rsidRPr="00A97F36">
        <w:rPr>
          <w:rFonts w:ascii="Calibri" w:hAnsi="Calibri" w:cs="Calibri"/>
          <w:i/>
          <w:color w:val="000000"/>
        </w:rPr>
        <w:t xml:space="preserve">with a final report due at the end of </w:t>
      </w:r>
      <w:r w:rsidR="00A97F36" w:rsidRPr="00A97F36">
        <w:rPr>
          <w:rFonts w:ascii="Calibri" w:hAnsi="Calibri" w:cs="Calibri"/>
          <w:i/>
          <w:color w:val="000000"/>
        </w:rPr>
        <w:t>February</w:t>
      </w:r>
      <w:r w:rsidR="00493700" w:rsidRPr="00A97F36">
        <w:rPr>
          <w:rFonts w:ascii="Calibri" w:hAnsi="Calibri" w:cs="Calibri"/>
          <w:i/>
          <w:color w:val="000000"/>
        </w:rPr>
        <w:t xml:space="preserve"> 202</w:t>
      </w:r>
      <w:r w:rsidR="009A22CE">
        <w:rPr>
          <w:rFonts w:ascii="Calibri" w:hAnsi="Calibri" w:cs="Calibri"/>
          <w:i/>
          <w:color w:val="000000"/>
        </w:rPr>
        <w:t>3</w:t>
      </w:r>
      <w:r w:rsidR="00B6700E" w:rsidRPr="00A97F36">
        <w:rPr>
          <w:rFonts w:ascii="Calibri" w:hAnsi="Calibri" w:cs="Calibri"/>
          <w:i/>
          <w:color w:val="000000"/>
        </w:rPr>
        <w:t>.</w:t>
      </w:r>
      <w:r w:rsidR="00B6700E">
        <w:rPr>
          <w:rFonts w:ascii="Calibri" w:hAnsi="Calibri" w:cs="Calibri"/>
          <w:i/>
          <w:color w:val="000000"/>
        </w:rPr>
        <w:t xml:space="preserve"> F</w:t>
      </w:r>
      <w:r w:rsidRPr="00790FB8">
        <w:rPr>
          <w:rFonts w:ascii="Calibri" w:hAnsi="Calibri" w:cs="Calibri"/>
          <w:i/>
          <w:color w:val="000000"/>
        </w:rPr>
        <w:t xml:space="preserve">or planning purposes if outcomes or deliverables are produced in </w:t>
      </w:r>
      <w:r w:rsidR="00B6700E" w:rsidRPr="00790FB8">
        <w:rPr>
          <w:rFonts w:ascii="Calibri" w:hAnsi="Calibri" w:cs="Calibri"/>
          <w:i/>
          <w:color w:val="000000"/>
        </w:rPr>
        <w:t>advance,</w:t>
      </w:r>
      <w:r w:rsidRPr="00790FB8">
        <w:rPr>
          <w:rFonts w:ascii="Calibri" w:hAnsi="Calibri" w:cs="Calibri"/>
          <w:i/>
          <w:color w:val="000000"/>
        </w:rPr>
        <w:t xml:space="preserve"> this will allow cooperation with BLE to disseminate messages and key findings. </w:t>
      </w:r>
    </w:p>
    <w:p w14:paraId="3D84D971" w14:textId="59C62C01" w:rsidR="00E76B37" w:rsidRDefault="00A24BE0" w:rsidP="00E76B37">
      <w:pPr>
        <w:autoSpaceDE w:val="0"/>
        <w:autoSpaceDN w:val="0"/>
        <w:adjustRightInd w:val="0"/>
        <w:spacing w:after="0" w:line="240" w:lineRule="auto"/>
        <w:rPr>
          <w:rFonts w:ascii="Calibri" w:hAnsi="Calibri" w:cs="Calibri"/>
          <w:color w:val="000000"/>
        </w:rPr>
      </w:pPr>
      <w:r w:rsidRPr="00DA5563">
        <w:rPr>
          <w:rFonts w:ascii="Calibri" w:hAnsi="Calibri" w:cs="Calibri"/>
          <w:color w:val="000000"/>
        </w:rPr>
        <w:lastRenderedPageBreak/>
        <w:t>Please do not hesitate to contact us to discuss project ideas.</w:t>
      </w:r>
      <w:r>
        <w:rPr>
          <w:rFonts w:ascii="Calibri" w:hAnsi="Calibri" w:cs="Calibri"/>
          <w:color w:val="000000"/>
        </w:rPr>
        <w:t xml:space="preserve"> </w:t>
      </w:r>
      <w:r w:rsidR="00E76B37">
        <w:rPr>
          <w:rFonts w:ascii="Calibri" w:hAnsi="Calibri" w:cs="Calibri"/>
          <w:color w:val="000000"/>
        </w:rPr>
        <w:t>If you would like to submit a proposal but know beforehand that the d</w:t>
      </w:r>
      <w:r>
        <w:rPr>
          <w:rFonts w:ascii="Calibri" w:hAnsi="Calibri" w:cs="Calibri"/>
          <w:color w:val="000000"/>
        </w:rPr>
        <w:t xml:space="preserve">eadline is not possible, please </w:t>
      </w:r>
      <w:r w:rsidR="00E76B37">
        <w:rPr>
          <w:rFonts w:ascii="Calibri" w:hAnsi="Calibri" w:cs="Calibri"/>
          <w:color w:val="000000"/>
        </w:rPr>
        <w:t>contact us immediately.</w:t>
      </w:r>
      <w:r>
        <w:rPr>
          <w:rFonts w:ascii="Calibri" w:hAnsi="Calibri" w:cs="Calibri"/>
          <w:color w:val="000000"/>
        </w:rPr>
        <w:t xml:space="preserve"> </w:t>
      </w:r>
    </w:p>
    <w:p w14:paraId="0EC0EF8E" w14:textId="77777777" w:rsidR="00DA5563" w:rsidRDefault="00DA5563" w:rsidP="00E76B37">
      <w:pPr>
        <w:autoSpaceDE w:val="0"/>
        <w:autoSpaceDN w:val="0"/>
        <w:adjustRightInd w:val="0"/>
        <w:spacing w:after="0" w:line="240" w:lineRule="auto"/>
        <w:rPr>
          <w:rFonts w:ascii="Calibri-Bold" w:hAnsi="Calibri-Bold" w:cs="Calibri-Bold"/>
          <w:b/>
          <w:bCs/>
          <w:color w:val="000000"/>
        </w:rPr>
      </w:pPr>
    </w:p>
    <w:p w14:paraId="2075F47B" w14:textId="2B038936" w:rsidR="00A24BE0" w:rsidRDefault="00E76B37" w:rsidP="00E76B37">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 xml:space="preserve">Please send all proposals to: </w:t>
      </w:r>
      <w:r w:rsidR="00C00288">
        <w:rPr>
          <w:rFonts w:ascii="Calibri-Bold" w:hAnsi="Calibri-Bold" w:cs="Calibri-Bold"/>
          <w:b/>
          <w:bCs/>
          <w:color w:val="000000"/>
        </w:rPr>
        <w:br/>
      </w:r>
      <w:r w:rsidR="00A97F36">
        <w:t>Marilda.dhaskali</w:t>
      </w:r>
      <w:r w:rsidR="00C00288" w:rsidRPr="00A97F36">
        <w:t>@birdlife.org</w:t>
      </w:r>
    </w:p>
    <w:p w14:paraId="50D9DBC1" w14:textId="7EF8F610" w:rsidR="00DA5563" w:rsidRDefault="00C00288" w:rsidP="00011C8D">
      <w:pPr>
        <w:pStyle w:val="NoSpacing"/>
        <w:rPr>
          <w:lang w:val="en-GB"/>
        </w:rPr>
      </w:pPr>
      <w:r w:rsidRPr="000D0937">
        <w:t>Kenneth</w:t>
      </w:r>
      <w:r>
        <w:t>.richter@</w:t>
      </w:r>
      <w:r w:rsidR="00F41778">
        <w:t>nab</w:t>
      </w:r>
      <w:r w:rsidR="009A22CE">
        <w:t>u</w:t>
      </w:r>
      <w:r w:rsidR="00F41778">
        <w:t>.de</w:t>
      </w:r>
    </w:p>
    <w:p w14:paraId="78729500" w14:textId="5ECB088D" w:rsidR="00DA5563" w:rsidRDefault="00DA5563" w:rsidP="00011C8D">
      <w:pPr>
        <w:pStyle w:val="NoSpacing"/>
        <w:rPr>
          <w:lang w:val="en-GB"/>
        </w:rPr>
      </w:pPr>
    </w:p>
    <w:p w14:paraId="2E13E443" w14:textId="77777777" w:rsidR="00DA5563" w:rsidRDefault="00DA5563" w:rsidP="00011C8D">
      <w:pPr>
        <w:pStyle w:val="NoSpacing"/>
        <w:rPr>
          <w:lang w:val="en-GB"/>
        </w:rPr>
      </w:pPr>
    </w:p>
    <w:p w14:paraId="36E3BD69" w14:textId="0A009E77" w:rsidR="00DA5563" w:rsidRDefault="00DA5563" w:rsidP="00011C8D">
      <w:pPr>
        <w:pStyle w:val="NoSpacing"/>
        <w:rPr>
          <w:lang w:val="en-GB"/>
        </w:rPr>
      </w:pPr>
      <w:r>
        <w:rPr>
          <w:noProof/>
          <w:lang w:val="en-GB" w:eastAsia="en-GB"/>
        </w:rPr>
        <mc:AlternateContent>
          <mc:Choice Requires="wps">
            <w:drawing>
              <wp:anchor distT="45720" distB="45720" distL="114300" distR="114300" simplePos="0" relativeHeight="251665408" behindDoc="0" locked="0" layoutInCell="1" allowOverlap="1" wp14:anchorId="26C085B4" wp14:editId="09868DF5">
                <wp:simplePos x="0" y="0"/>
                <wp:positionH relativeFrom="page">
                  <wp:align>left</wp:align>
                </wp:positionH>
                <wp:positionV relativeFrom="paragraph">
                  <wp:posOffset>1905</wp:posOffset>
                </wp:positionV>
                <wp:extent cx="7789926" cy="333375"/>
                <wp:effectExtent l="0" t="0" r="1905"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9926" cy="333375"/>
                        </a:xfrm>
                        <a:prstGeom prst="rect">
                          <a:avLst/>
                        </a:prstGeom>
                        <a:solidFill>
                          <a:schemeClr val="bg1">
                            <a:lumMod val="85000"/>
                          </a:schemeClr>
                        </a:solidFill>
                        <a:ln w="9525">
                          <a:noFill/>
                          <a:miter lim="800000"/>
                          <a:headEnd/>
                          <a:tailEnd/>
                        </a:ln>
                      </wps:spPr>
                      <wps:txbx>
                        <w:txbxContent>
                          <w:p w14:paraId="0FC9F959" w14:textId="77777777" w:rsidR="00C47651" w:rsidRPr="00F44DAD" w:rsidRDefault="00C47651" w:rsidP="00011C8D">
                            <w:pPr>
                              <w:jc w:val="center"/>
                            </w:pPr>
                            <w:r>
                              <w:t>ANNEX 1: LOBBYING</w:t>
                            </w:r>
                          </w:p>
                          <w:p w14:paraId="526F87B9" w14:textId="77777777" w:rsidR="00C47651" w:rsidRDefault="00C47651" w:rsidP="00011C8D">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C085B4" id="_x0000_s1032" type="#_x0000_t202" style="position:absolute;margin-left:0;margin-top:.15pt;width:613.4pt;height:26.25pt;z-index:251665408;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" fillcolor="#d8d8d8 [2732]" stroked="f">
                <v:textbox>
                  <w:txbxContent>
                    <w:p w14:paraId="0FC9F959" w14:textId="77777777" w:rsidR="00C47651" w:rsidRPr="00F44DAD" w:rsidRDefault="00C47651" w:rsidP="00011C8D">
                      <w:pPr>
                        <w:jc w:val="center"/>
                      </w:pPr>
                      <w:r>
                        <w:t>ANNEX 1: LOBBYING</w:t>
                      </w:r>
                    </w:p>
                    <w:p w14:paraId="526F87B9" w14:textId="77777777" w:rsidR="00C47651" w:rsidRDefault="00C47651" w:rsidP="00011C8D">
                      <w:pPr>
                        <w:jc w:val="center"/>
                      </w:pPr>
                    </w:p>
                  </w:txbxContent>
                </v:textbox>
                <w10:wrap type="square" anchorx="page"/>
              </v:shape>
            </w:pict>
          </mc:Fallback>
        </mc:AlternateContent>
      </w:r>
    </w:p>
    <w:p w14:paraId="71E100D1" w14:textId="4CF77BAB" w:rsidR="00011C8D" w:rsidRDefault="00011C8D" w:rsidP="00011C8D">
      <w:pPr>
        <w:pStyle w:val="NoSpacing"/>
        <w:rPr>
          <w:lang w:val="en-GB"/>
        </w:rPr>
      </w:pPr>
      <w:r>
        <w:rPr>
          <w:lang w:val="en-GB"/>
        </w:rPr>
        <w:t>The funds provided herein may not be used for “lobbying” activities, defined as any communication with: (</w:t>
      </w:r>
      <w:proofErr w:type="spellStart"/>
      <w:r>
        <w:rPr>
          <w:lang w:val="en-GB"/>
        </w:rPr>
        <w:t>i</w:t>
      </w:r>
      <w:proofErr w:type="spellEnd"/>
      <w:r>
        <w:rPr>
          <w:lang w:val="en-GB"/>
        </w:rPr>
        <w:t xml:space="preserve">) legislators, their staff, or other government officials with the intention of influencing a specific legislation; or (ii) the general public expressing a view on a specific legislation </w:t>
      </w:r>
      <w:r w:rsidRPr="00DA5563">
        <w:rPr>
          <w:i/>
        </w:rPr>
        <w:t>and</w:t>
      </w:r>
      <w:r>
        <w:rPr>
          <w:rFonts w:ascii="Calibri-Italic" w:hAnsi="Calibri-Italic" w:cs="Calibri-Italic"/>
          <w:i/>
          <w:iCs/>
          <w:lang w:val="en-GB"/>
        </w:rPr>
        <w:t xml:space="preserve"> </w:t>
      </w:r>
      <w:r>
        <w:rPr>
          <w:lang w:val="en-GB"/>
        </w:rPr>
        <w:t>encouraging them to contact a legislative representative through a “call to action.” These funds may not be used for these activities under any circumstance.</w:t>
      </w:r>
    </w:p>
    <w:p w14:paraId="5FE94098" w14:textId="77777777" w:rsidR="00011C8D" w:rsidRDefault="00011C8D" w:rsidP="00011C8D">
      <w:pPr>
        <w:pStyle w:val="NoSpacing"/>
        <w:rPr>
          <w:lang w:val="en-GB"/>
        </w:rPr>
      </w:pPr>
    </w:p>
    <w:p w14:paraId="125FEC00" w14:textId="77777777" w:rsidR="00011C8D" w:rsidRDefault="00011C8D" w:rsidP="00011C8D">
      <w:pPr>
        <w:pStyle w:val="NoSpacing"/>
        <w:rPr>
          <w:lang w:val="en-GB"/>
        </w:rPr>
      </w:pPr>
      <w:r>
        <w:rPr>
          <w:lang w:val="en-GB"/>
        </w:rPr>
        <w:t>Several other activities, however, are permissible under this grant, including:</w:t>
      </w:r>
    </w:p>
    <w:p w14:paraId="04ED7B3E" w14:textId="77777777" w:rsidR="00011C8D" w:rsidRDefault="00011C8D" w:rsidP="00011C8D">
      <w:pPr>
        <w:pStyle w:val="NoSpacing"/>
        <w:rPr>
          <w:lang w:val="en-GB"/>
        </w:rPr>
      </w:pPr>
    </w:p>
    <w:p w14:paraId="259DB8B1" w14:textId="77777777" w:rsidR="00011C8D" w:rsidRDefault="00011C8D" w:rsidP="00DA5563">
      <w:pPr>
        <w:pStyle w:val="NoSpacing"/>
        <w:numPr>
          <w:ilvl w:val="0"/>
          <w:numId w:val="15"/>
        </w:numPr>
        <w:rPr>
          <w:lang w:val="en-GB"/>
        </w:rPr>
      </w:pPr>
      <w:r>
        <w:rPr>
          <w:sz w:val="21"/>
          <w:szCs w:val="21"/>
          <w:lang w:val="en-GB"/>
        </w:rPr>
        <w:t>Providing technical assistance or advice to a governmental body or committee in response to its</w:t>
      </w:r>
      <w:r>
        <w:rPr>
          <w:lang w:val="en-GB"/>
        </w:rPr>
        <w:t xml:space="preserve"> </w:t>
      </w:r>
      <w:r>
        <w:rPr>
          <w:sz w:val="21"/>
          <w:szCs w:val="21"/>
          <w:lang w:val="en-GB"/>
        </w:rPr>
        <w:t>unsolicited written request. The request must be from the body or committee, not merely an</w:t>
      </w:r>
      <w:r>
        <w:rPr>
          <w:lang w:val="en-GB"/>
        </w:rPr>
        <w:t xml:space="preserve"> </w:t>
      </w:r>
      <w:r>
        <w:rPr>
          <w:sz w:val="21"/>
          <w:szCs w:val="21"/>
          <w:lang w:val="en-GB"/>
        </w:rPr>
        <w:t xml:space="preserve">individual sitting on it, and the response must be made </w:t>
      </w:r>
      <w:r>
        <w:rPr>
          <w:lang w:val="en-GB"/>
        </w:rPr>
        <w:t>available to every member of the requesting body or committee.</w:t>
      </w:r>
    </w:p>
    <w:p w14:paraId="2EC31680" w14:textId="77777777" w:rsidR="00011C8D" w:rsidRDefault="00011C8D" w:rsidP="00DA5563">
      <w:pPr>
        <w:pStyle w:val="NoSpacing"/>
        <w:ind w:left="720"/>
        <w:rPr>
          <w:sz w:val="21"/>
          <w:szCs w:val="21"/>
          <w:lang w:val="en-GB"/>
        </w:rPr>
      </w:pPr>
    </w:p>
    <w:p w14:paraId="0D42E8D2" w14:textId="72FCE9BD" w:rsidR="00011C8D" w:rsidRDefault="00011C8D" w:rsidP="00DA5563">
      <w:pPr>
        <w:pStyle w:val="NoSpacing"/>
        <w:numPr>
          <w:ilvl w:val="0"/>
          <w:numId w:val="15"/>
        </w:numPr>
        <w:rPr>
          <w:lang w:val="en-GB"/>
        </w:rPr>
      </w:pPr>
      <w:r>
        <w:rPr>
          <w:sz w:val="21"/>
          <w:szCs w:val="21"/>
          <w:lang w:val="en-GB"/>
        </w:rPr>
        <w:t>Making available the results of nonpartisan analysis, study or research. A nonpartisan analysis is</w:t>
      </w:r>
      <w:r>
        <w:rPr>
          <w:lang w:val="en-GB"/>
        </w:rPr>
        <w:t xml:space="preserve"> </w:t>
      </w:r>
      <w:r>
        <w:rPr>
          <w:sz w:val="21"/>
          <w:szCs w:val="21"/>
          <w:lang w:val="en-GB"/>
        </w:rPr>
        <w:t>defined as a full and fair exposition of a particular subject that may advocate a view so long as the</w:t>
      </w:r>
      <w:r>
        <w:rPr>
          <w:lang w:val="en-GB"/>
        </w:rPr>
        <w:t xml:space="preserve"> </w:t>
      </w:r>
      <w:r>
        <w:rPr>
          <w:sz w:val="21"/>
          <w:szCs w:val="21"/>
          <w:lang w:val="en-GB"/>
        </w:rPr>
        <w:t>presentation of the relevant facts is sufficient to enable readers to reach independent conclusions,</w:t>
      </w:r>
      <w:r>
        <w:rPr>
          <w:lang w:val="en-GB"/>
        </w:rPr>
        <w:t xml:space="preserve"> </w:t>
      </w:r>
      <w:r>
        <w:rPr>
          <w:sz w:val="21"/>
          <w:szCs w:val="21"/>
          <w:lang w:val="en-GB"/>
        </w:rPr>
        <w:t>e.g. presenting information on both sides of a legislative controversy in a balanced and objective</w:t>
      </w:r>
      <w:r>
        <w:rPr>
          <w:lang w:val="en-GB"/>
        </w:rPr>
        <w:t xml:space="preserve"> </w:t>
      </w:r>
      <w:r>
        <w:rPr>
          <w:sz w:val="21"/>
          <w:szCs w:val="21"/>
          <w:lang w:val="en-GB"/>
        </w:rPr>
        <w:t>manner. Distribution may not be limited to or solely directed toward persons interested solely in</w:t>
      </w:r>
      <w:r>
        <w:rPr>
          <w:lang w:val="en-GB"/>
        </w:rPr>
        <w:t xml:space="preserve"> </w:t>
      </w:r>
      <w:r>
        <w:rPr>
          <w:sz w:val="21"/>
          <w:szCs w:val="21"/>
          <w:lang w:val="en-GB"/>
        </w:rPr>
        <w:t xml:space="preserve">one side of a particular issue but must </w:t>
      </w:r>
      <w:r>
        <w:rPr>
          <w:lang w:val="en-GB"/>
        </w:rPr>
        <w:t>include all sides.</w:t>
      </w:r>
    </w:p>
    <w:p w14:paraId="6B9FDD30" w14:textId="5566F143" w:rsidR="00DA5563" w:rsidRDefault="00DA5563" w:rsidP="00DA5563">
      <w:pPr>
        <w:pStyle w:val="NoSpacing"/>
        <w:rPr>
          <w:lang w:val="en-GB"/>
        </w:rPr>
      </w:pPr>
    </w:p>
    <w:p w14:paraId="5AEA7C3B" w14:textId="77777777" w:rsidR="00011C8D" w:rsidRDefault="00011C8D" w:rsidP="00DA5563">
      <w:pPr>
        <w:pStyle w:val="NoSpacing"/>
        <w:numPr>
          <w:ilvl w:val="0"/>
          <w:numId w:val="15"/>
        </w:numPr>
        <w:rPr>
          <w:lang w:val="en-GB"/>
        </w:rPr>
      </w:pPr>
      <w:r>
        <w:rPr>
          <w:lang w:val="en-GB"/>
        </w:rPr>
        <w:t>Examining and discussing broad social, economic, and similar policy issues whose resolution would require legislation—even if such legislation is pending—so long as the discussion does not address the merits of a specific legislation.</w:t>
      </w:r>
    </w:p>
    <w:p w14:paraId="70ACC942" w14:textId="77777777" w:rsidR="00011C8D" w:rsidRDefault="00011C8D" w:rsidP="00DA5563">
      <w:pPr>
        <w:pStyle w:val="NoSpacing"/>
        <w:ind w:left="720"/>
        <w:rPr>
          <w:lang w:val="en-GB"/>
        </w:rPr>
      </w:pPr>
    </w:p>
    <w:p w14:paraId="2FB1E369" w14:textId="77777777" w:rsidR="00011C8D" w:rsidRDefault="00011C8D" w:rsidP="00DA5563">
      <w:pPr>
        <w:pStyle w:val="NoSpacing"/>
        <w:numPr>
          <w:ilvl w:val="0"/>
          <w:numId w:val="15"/>
        </w:numPr>
        <w:rPr>
          <w:lang w:val="en-GB"/>
        </w:rPr>
      </w:pPr>
      <w:r>
        <w:rPr>
          <w:lang w:val="en-GB"/>
        </w:rPr>
        <w:t xml:space="preserve">Communicating with members about pending or proposed legislation, unless the communications directly encourage the members to attempt to influence a specific legislation. </w:t>
      </w:r>
    </w:p>
    <w:p w14:paraId="566E057D" w14:textId="77777777" w:rsidR="00011C8D" w:rsidRDefault="00011C8D" w:rsidP="00011C8D">
      <w:pPr>
        <w:pStyle w:val="NoSpacing"/>
        <w:rPr>
          <w:lang w:val="en-GB"/>
        </w:rPr>
      </w:pPr>
    </w:p>
    <w:p w14:paraId="55D57E26" w14:textId="77777777" w:rsidR="00011C8D" w:rsidRPr="00413DAB" w:rsidRDefault="00011C8D" w:rsidP="00011C8D">
      <w:pPr>
        <w:pStyle w:val="NoSpacing"/>
        <w:rPr>
          <w:lang w:val="en-GB"/>
        </w:rPr>
      </w:pPr>
      <w:r>
        <w:rPr>
          <w:lang w:val="en-GB"/>
        </w:rPr>
        <w:t>These activities do not constitute "lobbying" even though such communications may advocate a view on proposed or pending legislation. In the instance it is not clear whether any activity being performed is prohibited, the grantee shall contact the grantor prior to engaging in it.</w:t>
      </w:r>
    </w:p>
    <w:p w14:paraId="7A556DAA" w14:textId="77777777" w:rsidR="00011C8D" w:rsidRPr="00413DAB" w:rsidRDefault="00011C8D" w:rsidP="00011C8D"/>
    <w:p w14:paraId="3A5D083F" w14:textId="77777777" w:rsidR="00011C8D" w:rsidRPr="00E155A8" w:rsidRDefault="00011C8D" w:rsidP="006B3847">
      <w:pPr>
        <w:pStyle w:val="Default"/>
      </w:pPr>
    </w:p>
    <w:sectPr w:rsidR="00011C8D" w:rsidRPr="00E155A8" w:rsidSect="00011C8D">
      <w:footerReference w:type="defaul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B4AB2" w14:textId="77777777" w:rsidR="00B10ADC" w:rsidRDefault="00B10ADC" w:rsidP="00011C8D">
      <w:pPr>
        <w:spacing w:after="0" w:line="240" w:lineRule="auto"/>
      </w:pPr>
      <w:r>
        <w:separator/>
      </w:r>
    </w:p>
  </w:endnote>
  <w:endnote w:type="continuationSeparator" w:id="0">
    <w:p w14:paraId="5587BFCF" w14:textId="77777777" w:rsidR="00B10ADC" w:rsidRDefault="00B10ADC" w:rsidP="00011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autami">
    <w:altName w:val="Gautami"/>
    <w:panose1 w:val="02000500000000000000"/>
    <w:charset w:val="00"/>
    <w:family w:val="swiss"/>
    <w:pitch w:val="variable"/>
    <w:sig w:usb0="002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Calibri-Italic">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27701" w14:textId="77777777" w:rsidR="00C47651" w:rsidRDefault="00C47651" w:rsidP="00011C8D">
    <w:pPr>
      <w:pStyle w:val="Footer"/>
    </w:pPr>
  </w:p>
  <w:p w14:paraId="5CCC48B0" w14:textId="77777777" w:rsidR="00C47651" w:rsidRDefault="00C476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2E106" w14:textId="77777777" w:rsidR="00C47651" w:rsidRDefault="00C47651" w:rsidP="00011C8D">
    <w:pPr>
      <w:pStyle w:val="Footer"/>
    </w:pPr>
    <w:r w:rsidRPr="00C65720">
      <w:rPr>
        <w:vertAlign w:val="superscript"/>
      </w:rPr>
      <w:t xml:space="preserve">1 </w:t>
    </w:r>
    <w:r>
      <w:rPr>
        <w:rFonts w:ascii="Calibri" w:hAnsi="Calibri" w:cs="Calibri"/>
        <w:sz w:val="18"/>
        <w:szCs w:val="18"/>
      </w:rPr>
      <w:t>The nature of lobby activities is further explained in Annex I of this call for tender.</w:t>
    </w:r>
  </w:p>
  <w:p w14:paraId="41EF681D" w14:textId="77777777" w:rsidR="00C47651" w:rsidRDefault="00C476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E27F7" w14:textId="77777777" w:rsidR="00B10ADC" w:rsidRDefault="00B10ADC" w:rsidP="00011C8D">
      <w:pPr>
        <w:spacing w:after="0" w:line="240" w:lineRule="auto"/>
      </w:pPr>
      <w:r>
        <w:separator/>
      </w:r>
    </w:p>
  </w:footnote>
  <w:footnote w:type="continuationSeparator" w:id="0">
    <w:p w14:paraId="00BEE237" w14:textId="77777777" w:rsidR="00B10ADC" w:rsidRDefault="00B10ADC" w:rsidP="00011C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60A07"/>
    <w:multiLevelType w:val="hybridMultilevel"/>
    <w:tmpl w:val="A3EAC38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1839E0"/>
    <w:multiLevelType w:val="hybridMultilevel"/>
    <w:tmpl w:val="322899F8"/>
    <w:lvl w:ilvl="0" w:tplc="119257F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674F47"/>
    <w:multiLevelType w:val="hybridMultilevel"/>
    <w:tmpl w:val="3078DC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9E1680"/>
    <w:multiLevelType w:val="hybridMultilevel"/>
    <w:tmpl w:val="B022B0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A2AE6"/>
    <w:multiLevelType w:val="hybridMultilevel"/>
    <w:tmpl w:val="2736AA3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191AC4"/>
    <w:multiLevelType w:val="hybridMultilevel"/>
    <w:tmpl w:val="2F3CA1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466B5C"/>
    <w:multiLevelType w:val="hybridMultilevel"/>
    <w:tmpl w:val="E00A9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7A289E"/>
    <w:multiLevelType w:val="hybridMultilevel"/>
    <w:tmpl w:val="E326D3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822483"/>
    <w:multiLevelType w:val="hybridMultilevel"/>
    <w:tmpl w:val="F0AA603A"/>
    <w:lvl w:ilvl="0" w:tplc="930CAD24">
      <w:start w:val="1"/>
      <w:numFmt w:val="bullet"/>
      <w:lvlText w:val=""/>
      <w:lvlJc w:val="left"/>
      <w:pPr>
        <w:tabs>
          <w:tab w:val="num" w:pos="720"/>
        </w:tabs>
        <w:ind w:left="720" w:hanging="360"/>
      </w:pPr>
      <w:rPr>
        <w:rFonts w:ascii="Symbol" w:hAnsi="Symbol" w:hint="default"/>
        <w:sz w:val="20"/>
      </w:rPr>
    </w:lvl>
    <w:lvl w:ilvl="1" w:tplc="D1B45CAA">
      <w:start w:val="1"/>
      <w:numFmt w:val="bullet"/>
      <w:lvlText w:val=""/>
      <w:lvlJc w:val="left"/>
      <w:pPr>
        <w:tabs>
          <w:tab w:val="num" w:pos="1440"/>
        </w:tabs>
        <w:ind w:left="1440" w:hanging="360"/>
      </w:pPr>
      <w:rPr>
        <w:rFonts w:ascii="Symbol" w:hAnsi="Symbol" w:hint="default"/>
        <w:sz w:val="20"/>
      </w:rPr>
    </w:lvl>
    <w:lvl w:ilvl="2" w:tplc="6AD2745C">
      <w:start w:val="1"/>
      <w:numFmt w:val="bullet"/>
      <w:lvlText w:val="o"/>
      <w:lvlJc w:val="left"/>
      <w:pPr>
        <w:ind w:left="2160" w:hanging="360"/>
      </w:pPr>
      <w:rPr>
        <w:rFonts w:ascii="Courier New" w:hAnsi="Courier New" w:cs="Courier New" w:hint="default"/>
        <w:sz w:val="20"/>
      </w:rPr>
    </w:lvl>
    <w:lvl w:ilvl="3" w:tplc="6C569D80" w:tentative="1">
      <w:start w:val="1"/>
      <w:numFmt w:val="bullet"/>
      <w:lvlText w:val=""/>
      <w:lvlJc w:val="left"/>
      <w:pPr>
        <w:tabs>
          <w:tab w:val="num" w:pos="2880"/>
        </w:tabs>
        <w:ind w:left="2880" w:hanging="360"/>
      </w:pPr>
      <w:rPr>
        <w:rFonts w:ascii="Symbol" w:hAnsi="Symbol" w:hint="default"/>
        <w:sz w:val="20"/>
      </w:rPr>
    </w:lvl>
    <w:lvl w:ilvl="4" w:tplc="B77E0878" w:tentative="1">
      <w:start w:val="1"/>
      <w:numFmt w:val="bullet"/>
      <w:lvlText w:val=""/>
      <w:lvlJc w:val="left"/>
      <w:pPr>
        <w:tabs>
          <w:tab w:val="num" w:pos="3600"/>
        </w:tabs>
        <w:ind w:left="3600" w:hanging="360"/>
      </w:pPr>
      <w:rPr>
        <w:rFonts w:ascii="Symbol" w:hAnsi="Symbol" w:hint="default"/>
        <w:sz w:val="20"/>
      </w:rPr>
    </w:lvl>
    <w:lvl w:ilvl="5" w:tplc="4058DAC2" w:tentative="1">
      <w:start w:val="1"/>
      <w:numFmt w:val="bullet"/>
      <w:lvlText w:val=""/>
      <w:lvlJc w:val="left"/>
      <w:pPr>
        <w:tabs>
          <w:tab w:val="num" w:pos="4320"/>
        </w:tabs>
        <w:ind w:left="4320" w:hanging="360"/>
      </w:pPr>
      <w:rPr>
        <w:rFonts w:ascii="Symbol" w:hAnsi="Symbol" w:hint="default"/>
        <w:sz w:val="20"/>
      </w:rPr>
    </w:lvl>
    <w:lvl w:ilvl="6" w:tplc="FB5A7994" w:tentative="1">
      <w:start w:val="1"/>
      <w:numFmt w:val="bullet"/>
      <w:lvlText w:val=""/>
      <w:lvlJc w:val="left"/>
      <w:pPr>
        <w:tabs>
          <w:tab w:val="num" w:pos="5040"/>
        </w:tabs>
        <w:ind w:left="5040" w:hanging="360"/>
      </w:pPr>
      <w:rPr>
        <w:rFonts w:ascii="Symbol" w:hAnsi="Symbol" w:hint="default"/>
        <w:sz w:val="20"/>
      </w:rPr>
    </w:lvl>
    <w:lvl w:ilvl="7" w:tplc="AEA0B68A" w:tentative="1">
      <w:start w:val="1"/>
      <w:numFmt w:val="bullet"/>
      <w:lvlText w:val=""/>
      <w:lvlJc w:val="left"/>
      <w:pPr>
        <w:tabs>
          <w:tab w:val="num" w:pos="5760"/>
        </w:tabs>
        <w:ind w:left="5760" w:hanging="360"/>
      </w:pPr>
      <w:rPr>
        <w:rFonts w:ascii="Symbol" w:hAnsi="Symbol" w:hint="default"/>
        <w:sz w:val="20"/>
      </w:rPr>
    </w:lvl>
    <w:lvl w:ilvl="8" w:tplc="5336A93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045628D"/>
    <w:multiLevelType w:val="hybridMultilevel"/>
    <w:tmpl w:val="2CAE7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5E3769"/>
    <w:multiLevelType w:val="hybridMultilevel"/>
    <w:tmpl w:val="D272065C"/>
    <w:lvl w:ilvl="0" w:tplc="D72C4D46">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CA12F2"/>
    <w:multiLevelType w:val="hybridMultilevel"/>
    <w:tmpl w:val="DD28C2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236EF9"/>
    <w:multiLevelType w:val="hybridMultilevel"/>
    <w:tmpl w:val="4E4AC87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F614BE"/>
    <w:multiLevelType w:val="hybridMultilevel"/>
    <w:tmpl w:val="21503D3C"/>
    <w:lvl w:ilvl="0" w:tplc="119257F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7426D6"/>
    <w:multiLevelType w:val="hybridMultilevel"/>
    <w:tmpl w:val="2050FC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6354AD"/>
    <w:multiLevelType w:val="hybridMultilevel"/>
    <w:tmpl w:val="5AEA5562"/>
    <w:lvl w:ilvl="0" w:tplc="D72C4D46">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13"/>
  </w:num>
  <w:num w:numId="4">
    <w:abstractNumId w:val="12"/>
  </w:num>
  <w:num w:numId="5">
    <w:abstractNumId w:val="1"/>
  </w:num>
  <w:num w:numId="6">
    <w:abstractNumId w:val="5"/>
  </w:num>
  <w:num w:numId="7">
    <w:abstractNumId w:val="2"/>
  </w:num>
  <w:num w:numId="8">
    <w:abstractNumId w:val="11"/>
  </w:num>
  <w:num w:numId="9">
    <w:abstractNumId w:val="0"/>
  </w:num>
  <w:num w:numId="10">
    <w:abstractNumId w:val="14"/>
  </w:num>
  <w:num w:numId="11">
    <w:abstractNumId w:val="7"/>
  </w:num>
  <w:num w:numId="12">
    <w:abstractNumId w:val="4"/>
  </w:num>
  <w:num w:numId="13">
    <w:abstractNumId w:val="6"/>
  </w:num>
  <w:num w:numId="14">
    <w:abstractNumId w:val="9"/>
  </w:num>
  <w:num w:numId="15">
    <w:abstractNumId w:val="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5A8"/>
    <w:rsid w:val="00011C8D"/>
    <w:rsid w:val="000128A4"/>
    <w:rsid w:val="00061122"/>
    <w:rsid w:val="0008597A"/>
    <w:rsid w:val="000870D5"/>
    <w:rsid w:val="000A7BC3"/>
    <w:rsid w:val="000C1E74"/>
    <w:rsid w:val="00105DB1"/>
    <w:rsid w:val="001178AB"/>
    <w:rsid w:val="00120B29"/>
    <w:rsid w:val="00125459"/>
    <w:rsid w:val="001C7236"/>
    <w:rsid w:val="001D42A9"/>
    <w:rsid w:val="001E604B"/>
    <w:rsid w:val="001F4EDF"/>
    <w:rsid w:val="001F78A8"/>
    <w:rsid w:val="00250330"/>
    <w:rsid w:val="00263540"/>
    <w:rsid w:val="00292409"/>
    <w:rsid w:val="002B36CF"/>
    <w:rsid w:val="002D7D1B"/>
    <w:rsid w:val="003A48B7"/>
    <w:rsid w:val="003B029C"/>
    <w:rsid w:val="003C01FE"/>
    <w:rsid w:val="00435F11"/>
    <w:rsid w:val="004422C6"/>
    <w:rsid w:val="00444CA2"/>
    <w:rsid w:val="00471EDF"/>
    <w:rsid w:val="00493700"/>
    <w:rsid w:val="00496172"/>
    <w:rsid w:val="004A5F0D"/>
    <w:rsid w:val="00577B06"/>
    <w:rsid w:val="005B32F7"/>
    <w:rsid w:val="005F04C6"/>
    <w:rsid w:val="005F6B8B"/>
    <w:rsid w:val="0068171A"/>
    <w:rsid w:val="006A4A4B"/>
    <w:rsid w:val="006A7ABA"/>
    <w:rsid w:val="006B3847"/>
    <w:rsid w:val="006B3B57"/>
    <w:rsid w:val="007175B9"/>
    <w:rsid w:val="00790554"/>
    <w:rsid w:val="00790FB8"/>
    <w:rsid w:val="007B55C1"/>
    <w:rsid w:val="007B562F"/>
    <w:rsid w:val="007E7FB8"/>
    <w:rsid w:val="00831880"/>
    <w:rsid w:val="00857518"/>
    <w:rsid w:val="00885ECA"/>
    <w:rsid w:val="00931110"/>
    <w:rsid w:val="009450F6"/>
    <w:rsid w:val="00960FFB"/>
    <w:rsid w:val="00963B38"/>
    <w:rsid w:val="009A22CE"/>
    <w:rsid w:val="009F0112"/>
    <w:rsid w:val="00A20C3B"/>
    <w:rsid w:val="00A24BE0"/>
    <w:rsid w:val="00A339EC"/>
    <w:rsid w:val="00A97F36"/>
    <w:rsid w:val="00AA1B8C"/>
    <w:rsid w:val="00B00ECA"/>
    <w:rsid w:val="00B10ADC"/>
    <w:rsid w:val="00B20430"/>
    <w:rsid w:val="00B25BA5"/>
    <w:rsid w:val="00B35BE9"/>
    <w:rsid w:val="00B6700E"/>
    <w:rsid w:val="00BD0981"/>
    <w:rsid w:val="00BF3ED5"/>
    <w:rsid w:val="00C00288"/>
    <w:rsid w:val="00C04D5E"/>
    <w:rsid w:val="00C47651"/>
    <w:rsid w:val="00C711DF"/>
    <w:rsid w:val="00CA4B64"/>
    <w:rsid w:val="00CD729E"/>
    <w:rsid w:val="00D4333B"/>
    <w:rsid w:val="00D61D39"/>
    <w:rsid w:val="00D72CE3"/>
    <w:rsid w:val="00D8467E"/>
    <w:rsid w:val="00DA5563"/>
    <w:rsid w:val="00DA5668"/>
    <w:rsid w:val="00E11592"/>
    <w:rsid w:val="00E155A8"/>
    <w:rsid w:val="00E52047"/>
    <w:rsid w:val="00E76B37"/>
    <w:rsid w:val="00EE09F5"/>
    <w:rsid w:val="00EE2F96"/>
    <w:rsid w:val="00F13DC1"/>
    <w:rsid w:val="00F15567"/>
    <w:rsid w:val="00F41778"/>
    <w:rsid w:val="00F538E3"/>
    <w:rsid w:val="00F5400E"/>
    <w:rsid w:val="00FA238D"/>
    <w:rsid w:val="00FB68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43B9C"/>
  <w15:chartTrackingRefBased/>
  <w15:docId w15:val="{B8084B9F-2FD9-4F5B-98EB-B7055F107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155A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55A8"/>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rsid w:val="00E155A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155A8"/>
    <w:rPr>
      <w:rFonts w:eastAsiaTheme="minorEastAsia"/>
      <w:lang w:val="en-US"/>
    </w:rPr>
  </w:style>
  <w:style w:type="paragraph" w:styleId="ListParagraph">
    <w:name w:val="List Paragraph"/>
    <w:basedOn w:val="Normal"/>
    <w:uiPriority w:val="34"/>
    <w:qFormat/>
    <w:rsid w:val="00263540"/>
    <w:pPr>
      <w:ind w:left="720"/>
      <w:contextualSpacing/>
    </w:pPr>
  </w:style>
  <w:style w:type="paragraph" w:customStyle="1" w:styleId="Default">
    <w:name w:val="Default"/>
    <w:rsid w:val="006B3847"/>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011C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1C8D"/>
  </w:style>
  <w:style w:type="paragraph" w:styleId="Footer">
    <w:name w:val="footer"/>
    <w:basedOn w:val="Normal"/>
    <w:link w:val="FooterChar"/>
    <w:uiPriority w:val="99"/>
    <w:unhideWhenUsed/>
    <w:rsid w:val="00011C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1C8D"/>
  </w:style>
  <w:style w:type="character" w:styleId="Hyperlink">
    <w:name w:val="Hyperlink"/>
    <w:basedOn w:val="DefaultParagraphFont"/>
    <w:uiPriority w:val="99"/>
    <w:unhideWhenUsed/>
    <w:rsid w:val="00011C8D"/>
    <w:rPr>
      <w:color w:val="0000FF"/>
      <w:u w:val="single"/>
    </w:rPr>
  </w:style>
  <w:style w:type="character" w:styleId="CommentReference">
    <w:name w:val="annotation reference"/>
    <w:basedOn w:val="DefaultParagraphFont"/>
    <w:uiPriority w:val="99"/>
    <w:semiHidden/>
    <w:unhideWhenUsed/>
    <w:rsid w:val="00EE2F96"/>
    <w:rPr>
      <w:sz w:val="16"/>
      <w:szCs w:val="16"/>
    </w:rPr>
  </w:style>
  <w:style w:type="paragraph" w:styleId="CommentText">
    <w:name w:val="annotation text"/>
    <w:basedOn w:val="Normal"/>
    <w:link w:val="CommentTextChar"/>
    <w:uiPriority w:val="99"/>
    <w:semiHidden/>
    <w:unhideWhenUsed/>
    <w:rsid w:val="00EE2F96"/>
    <w:pPr>
      <w:spacing w:line="240" w:lineRule="auto"/>
    </w:pPr>
    <w:rPr>
      <w:sz w:val="20"/>
      <w:szCs w:val="20"/>
    </w:rPr>
  </w:style>
  <w:style w:type="character" w:customStyle="1" w:styleId="CommentTextChar">
    <w:name w:val="Comment Text Char"/>
    <w:basedOn w:val="DefaultParagraphFont"/>
    <w:link w:val="CommentText"/>
    <w:uiPriority w:val="99"/>
    <w:semiHidden/>
    <w:rsid w:val="00EE2F96"/>
    <w:rPr>
      <w:sz w:val="20"/>
      <w:szCs w:val="20"/>
    </w:rPr>
  </w:style>
  <w:style w:type="paragraph" w:styleId="CommentSubject">
    <w:name w:val="annotation subject"/>
    <w:basedOn w:val="CommentText"/>
    <w:next w:val="CommentText"/>
    <w:link w:val="CommentSubjectChar"/>
    <w:uiPriority w:val="99"/>
    <w:semiHidden/>
    <w:unhideWhenUsed/>
    <w:rsid w:val="00EE2F96"/>
    <w:rPr>
      <w:b/>
      <w:bCs/>
    </w:rPr>
  </w:style>
  <w:style w:type="character" w:customStyle="1" w:styleId="CommentSubjectChar">
    <w:name w:val="Comment Subject Char"/>
    <w:basedOn w:val="CommentTextChar"/>
    <w:link w:val="CommentSubject"/>
    <w:uiPriority w:val="99"/>
    <w:semiHidden/>
    <w:rsid w:val="00EE2F96"/>
    <w:rPr>
      <w:b/>
      <w:bCs/>
      <w:sz w:val="20"/>
      <w:szCs w:val="20"/>
    </w:rPr>
  </w:style>
  <w:style w:type="paragraph" w:styleId="BalloonText">
    <w:name w:val="Balloon Text"/>
    <w:basedOn w:val="Normal"/>
    <w:link w:val="BalloonTextChar"/>
    <w:uiPriority w:val="99"/>
    <w:semiHidden/>
    <w:unhideWhenUsed/>
    <w:rsid w:val="00EE2F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F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22760-A1B6-4C05-9887-D9B59A48D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1606</Words>
  <Characters>9160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Edwards</dc:creator>
  <cp:keywords/>
  <dc:description/>
  <cp:lastModifiedBy>Marilda Dhaskali</cp:lastModifiedBy>
  <cp:revision>4</cp:revision>
  <dcterms:created xsi:type="dcterms:W3CDTF">2022-02-14T11:16:00Z</dcterms:created>
  <dcterms:modified xsi:type="dcterms:W3CDTF">2022-03-14T13:51:00Z</dcterms:modified>
</cp:coreProperties>
</file>